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16B" w:rsidRPr="00DA600E" w:rsidRDefault="00E5243B" w:rsidP="000E4B80">
      <w:pPr>
        <w:jc w:val="center"/>
        <w:rPr>
          <w:rFonts w:ascii="Calibri" w:hAnsi="Calibri"/>
          <w:sz w:val="22"/>
        </w:rPr>
      </w:pPr>
      <w:r w:rsidRPr="009931F6">
        <w:rPr>
          <w:rFonts w:ascii="Calibri" w:hAnsi="Calibri"/>
          <w:noProof/>
          <w:sz w:val="22"/>
          <w:lang w:eastAsia="en-GB"/>
        </w:rPr>
        <w:drawing>
          <wp:inline distT="0" distB="0" distL="0" distR="0">
            <wp:extent cx="3054350" cy="112343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9580" cy="1132719"/>
                    </a:xfrm>
                    <a:prstGeom prst="rect">
                      <a:avLst/>
                    </a:prstGeom>
                    <a:noFill/>
                    <a:ln>
                      <a:noFill/>
                    </a:ln>
                  </pic:spPr>
                </pic:pic>
              </a:graphicData>
            </a:graphic>
          </wp:inline>
        </w:drawing>
      </w:r>
    </w:p>
    <w:p w:rsidR="000E4B80" w:rsidRPr="0016082E" w:rsidRDefault="000E4B80" w:rsidP="000E4B80">
      <w:pPr>
        <w:jc w:val="center"/>
        <w:rPr>
          <w:rFonts w:cs="Arial"/>
          <w:sz w:val="28"/>
          <w:szCs w:val="28"/>
        </w:rPr>
      </w:pPr>
    </w:p>
    <w:p w:rsidR="000E4B80" w:rsidRPr="0016082E" w:rsidRDefault="000E4B80" w:rsidP="000E4B80">
      <w:pPr>
        <w:jc w:val="center"/>
        <w:rPr>
          <w:rFonts w:cs="Arial"/>
          <w:b/>
          <w:sz w:val="28"/>
          <w:szCs w:val="28"/>
        </w:rPr>
      </w:pPr>
      <w:r w:rsidRPr="0016082E">
        <w:rPr>
          <w:rFonts w:cs="Arial"/>
          <w:b/>
          <w:sz w:val="28"/>
          <w:szCs w:val="28"/>
        </w:rPr>
        <w:t>Building Community Capacity Practitioners Network Meeting</w:t>
      </w:r>
    </w:p>
    <w:p w:rsidR="0016082E" w:rsidRPr="0016082E" w:rsidRDefault="0016082E" w:rsidP="000E4B80">
      <w:pPr>
        <w:jc w:val="center"/>
        <w:rPr>
          <w:rFonts w:cs="Arial"/>
          <w:b/>
          <w:szCs w:val="28"/>
        </w:rPr>
      </w:pPr>
      <w:r w:rsidRPr="0016082E">
        <w:rPr>
          <w:rFonts w:cs="Arial"/>
          <w:b/>
          <w:szCs w:val="28"/>
        </w:rPr>
        <w:t>Birmingham Voluntary Service Council</w:t>
      </w:r>
    </w:p>
    <w:p w:rsidR="000E4B80" w:rsidRPr="0016082E" w:rsidRDefault="000E4B80" w:rsidP="000E4B80">
      <w:pPr>
        <w:jc w:val="center"/>
        <w:rPr>
          <w:rFonts w:cs="Arial"/>
          <w:b/>
          <w:szCs w:val="28"/>
        </w:rPr>
      </w:pPr>
      <w:r w:rsidRPr="0016082E">
        <w:rPr>
          <w:rFonts w:cs="Arial"/>
          <w:b/>
          <w:szCs w:val="28"/>
        </w:rPr>
        <w:t>Thursday 7</w:t>
      </w:r>
      <w:r w:rsidRPr="0016082E">
        <w:rPr>
          <w:rFonts w:cs="Arial"/>
          <w:b/>
          <w:szCs w:val="28"/>
          <w:vertAlign w:val="superscript"/>
        </w:rPr>
        <w:t>th</w:t>
      </w:r>
      <w:r w:rsidRPr="0016082E">
        <w:rPr>
          <w:rFonts w:cs="Arial"/>
          <w:b/>
          <w:szCs w:val="28"/>
        </w:rPr>
        <w:t xml:space="preserve"> Sep</w:t>
      </w:r>
      <w:bookmarkStart w:id="0" w:name="_GoBack"/>
      <w:bookmarkEnd w:id="0"/>
      <w:r w:rsidRPr="0016082E">
        <w:rPr>
          <w:rFonts w:cs="Arial"/>
          <w:b/>
          <w:szCs w:val="28"/>
        </w:rPr>
        <w:t>tember 2017</w:t>
      </w:r>
    </w:p>
    <w:p w:rsidR="00E5243B" w:rsidRPr="0016082E" w:rsidRDefault="00E5243B" w:rsidP="000E4B80">
      <w:pPr>
        <w:jc w:val="center"/>
        <w:rPr>
          <w:rFonts w:cs="Arial"/>
          <w:b/>
          <w:sz w:val="28"/>
          <w:szCs w:val="28"/>
        </w:rPr>
      </w:pPr>
    </w:p>
    <w:p w:rsidR="000E4B80" w:rsidRPr="002433D4" w:rsidRDefault="000E4B80" w:rsidP="000E4B80">
      <w:pPr>
        <w:jc w:val="center"/>
        <w:rPr>
          <w:rFonts w:cs="Arial"/>
          <w:b/>
          <w:i/>
          <w:sz w:val="28"/>
          <w:szCs w:val="28"/>
        </w:rPr>
      </w:pPr>
      <w:r w:rsidRPr="002433D4">
        <w:rPr>
          <w:rFonts w:cs="Arial"/>
          <w:b/>
          <w:i/>
          <w:sz w:val="28"/>
          <w:szCs w:val="28"/>
        </w:rPr>
        <w:t>Let’s Talk About Evidence</w:t>
      </w:r>
    </w:p>
    <w:p w:rsidR="000E4B80" w:rsidRPr="0016082E" w:rsidRDefault="000E4B80" w:rsidP="000E4B80">
      <w:pPr>
        <w:rPr>
          <w:rFonts w:cs="Arial"/>
          <w:b/>
          <w:i/>
          <w:sz w:val="28"/>
          <w:szCs w:val="28"/>
        </w:rPr>
      </w:pPr>
    </w:p>
    <w:p w:rsidR="00875928" w:rsidRPr="0016082E" w:rsidRDefault="00875928" w:rsidP="000E4B80">
      <w:pPr>
        <w:rPr>
          <w:rFonts w:cs="Arial"/>
          <w:b/>
          <w:szCs w:val="28"/>
        </w:rPr>
      </w:pPr>
      <w:r w:rsidRPr="0016082E">
        <w:rPr>
          <w:rFonts w:cs="Arial"/>
          <w:b/>
          <w:szCs w:val="28"/>
        </w:rPr>
        <w:t>Purpose and context</w:t>
      </w:r>
    </w:p>
    <w:p w:rsidR="0016082E" w:rsidRPr="0016082E" w:rsidRDefault="0016082E" w:rsidP="000E4B80">
      <w:pPr>
        <w:rPr>
          <w:rFonts w:cs="Arial"/>
          <w:szCs w:val="28"/>
        </w:rPr>
      </w:pPr>
    </w:p>
    <w:p w:rsidR="00875928" w:rsidRPr="0016082E" w:rsidRDefault="00EC7BDD" w:rsidP="000E4B80">
      <w:pPr>
        <w:rPr>
          <w:rFonts w:cs="Arial"/>
          <w:szCs w:val="28"/>
        </w:rPr>
      </w:pPr>
      <w:r w:rsidRPr="0016082E">
        <w:rPr>
          <w:rFonts w:cs="Arial"/>
          <w:szCs w:val="28"/>
        </w:rPr>
        <w:t xml:space="preserve">The sector wide </w:t>
      </w:r>
      <w:hyperlink r:id="rId6" w:history="1">
        <w:r w:rsidR="00871C94" w:rsidRPr="0016082E">
          <w:rPr>
            <w:rStyle w:val="Hyperlink"/>
            <w:rFonts w:cs="Arial"/>
            <w:i/>
            <w:szCs w:val="28"/>
          </w:rPr>
          <w:t>Engaging and empowering communities: Our shared</w:t>
        </w:r>
        <w:r w:rsidR="00871C94" w:rsidRPr="0016082E">
          <w:rPr>
            <w:rStyle w:val="Hyperlink"/>
            <w:rFonts w:cs="Arial"/>
            <w:szCs w:val="28"/>
          </w:rPr>
          <w:t xml:space="preserve"> </w:t>
        </w:r>
        <w:r w:rsidR="00871C94" w:rsidRPr="0016082E">
          <w:rPr>
            <w:rStyle w:val="Hyperlink"/>
            <w:rFonts w:cs="Arial"/>
            <w:i/>
            <w:szCs w:val="28"/>
          </w:rPr>
          <w:t>commitment</w:t>
        </w:r>
      </w:hyperlink>
      <w:r w:rsidR="00871C94" w:rsidRPr="0016082E">
        <w:rPr>
          <w:rFonts w:cs="Arial"/>
          <w:i/>
          <w:szCs w:val="28"/>
        </w:rPr>
        <w:t xml:space="preserve"> and call to action</w:t>
      </w:r>
      <w:r w:rsidR="00C37A91" w:rsidRPr="0016082E">
        <w:rPr>
          <w:rFonts w:cs="Arial"/>
          <w:i/>
          <w:szCs w:val="28"/>
        </w:rPr>
        <w:t xml:space="preserve"> </w:t>
      </w:r>
      <w:r w:rsidR="00C37A91" w:rsidRPr="0016082E">
        <w:rPr>
          <w:rFonts w:cs="Arial"/>
          <w:szCs w:val="28"/>
        </w:rPr>
        <w:t>made a clear commitment</w:t>
      </w:r>
      <w:r w:rsidR="00875928" w:rsidRPr="0016082E">
        <w:rPr>
          <w:rFonts w:cs="Arial"/>
          <w:szCs w:val="28"/>
        </w:rPr>
        <w:t xml:space="preserve"> </w:t>
      </w:r>
      <w:r w:rsidR="00C37A91" w:rsidRPr="0016082E">
        <w:rPr>
          <w:rFonts w:cs="Arial"/>
          <w:szCs w:val="28"/>
        </w:rPr>
        <w:t>to</w:t>
      </w:r>
      <w:r w:rsidR="00875928" w:rsidRPr="0016082E">
        <w:rPr>
          <w:rFonts w:cs="Arial"/>
          <w:szCs w:val="28"/>
        </w:rPr>
        <w:t xml:space="preserve"> improve the evidence base for community based approaches to care and support</w:t>
      </w:r>
      <w:r w:rsidR="0016082E" w:rsidRPr="0016082E">
        <w:rPr>
          <w:rFonts w:cs="Arial"/>
          <w:szCs w:val="28"/>
        </w:rPr>
        <w:t xml:space="preserve"> </w:t>
      </w:r>
      <w:r w:rsidR="00762B0D" w:rsidRPr="0016082E">
        <w:rPr>
          <w:rFonts w:cs="Arial"/>
          <w:szCs w:val="28"/>
        </w:rPr>
        <w:t>(see box below)</w:t>
      </w:r>
      <w:r w:rsidR="00875928" w:rsidRPr="0016082E">
        <w:rPr>
          <w:rFonts w:cs="Arial"/>
          <w:szCs w:val="28"/>
        </w:rPr>
        <w:t xml:space="preserve">. </w:t>
      </w:r>
    </w:p>
    <w:p w:rsidR="00875928" w:rsidRPr="0016082E" w:rsidRDefault="00875928" w:rsidP="000E4B80">
      <w:pPr>
        <w:rPr>
          <w:rFonts w:cs="Arial"/>
          <w:sz w:val="28"/>
          <w:szCs w:val="28"/>
        </w:rPr>
      </w:pPr>
    </w:p>
    <w:p w:rsidR="00875928" w:rsidRPr="00E5243B" w:rsidRDefault="00875928" w:rsidP="000E4B80">
      <w:pPr>
        <w:rPr>
          <w:rFonts w:ascii="Calibri" w:hAnsi="Calibri"/>
          <w:i/>
          <w:sz w:val="28"/>
          <w:szCs w:val="28"/>
        </w:rPr>
      </w:pPr>
    </w:p>
    <w:p w:rsidR="00875928" w:rsidRPr="0016082E" w:rsidRDefault="00875928" w:rsidP="00762B0D">
      <w:pPr>
        <w:pBdr>
          <w:top w:val="single" w:sz="4" w:space="1" w:color="auto"/>
          <w:left w:val="single" w:sz="4" w:space="4" w:color="auto"/>
          <w:bottom w:val="single" w:sz="4" w:space="2" w:color="auto"/>
          <w:right w:val="single" w:sz="4" w:space="4" w:color="auto"/>
        </w:pBdr>
        <w:shd w:val="clear" w:color="auto" w:fill="D9D9D9"/>
        <w:jc w:val="center"/>
        <w:rPr>
          <w:rFonts w:cs="Arial"/>
          <w:b/>
          <w:szCs w:val="28"/>
        </w:rPr>
      </w:pPr>
      <w:r w:rsidRPr="0016082E">
        <w:rPr>
          <w:rFonts w:cs="Arial"/>
          <w:b/>
          <w:szCs w:val="28"/>
        </w:rPr>
        <w:t>Evidence and Simple Measurements</w:t>
      </w:r>
    </w:p>
    <w:p w:rsidR="00762B0D" w:rsidRPr="00E5243B" w:rsidRDefault="00762B0D" w:rsidP="00762B0D">
      <w:pPr>
        <w:pBdr>
          <w:top w:val="single" w:sz="4" w:space="1" w:color="auto"/>
          <w:left w:val="single" w:sz="4" w:space="4" w:color="auto"/>
          <w:bottom w:val="single" w:sz="4" w:space="2" w:color="auto"/>
          <w:right w:val="single" w:sz="4" w:space="4" w:color="auto"/>
        </w:pBdr>
        <w:shd w:val="clear" w:color="auto" w:fill="D9D9D9"/>
        <w:rPr>
          <w:rFonts w:ascii="Calibri" w:hAnsi="Calibri"/>
          <w:i/>
          <w:sz w:val="28"/>
          <w:szCs w:val="28"/>
        </w:rPr>
      </w:pPr>
    </w:p>
    <w:p w:rsidR="00875928" w:rsidRPr="00E5243B" w:rsidRDefault="00875928" w:rsidP="00762B0D">
      <w:pPr>
        <w:pBdr>
          <w:top w:val="single" w:sz="4" w:space="1" w:color="auto"/>
          <w:left w:val="single" w:sz="4" w:space="4" w:color="auto"/>
          <w:bottom w:val="single" w:sz="4" w:space="2" w:color="auto"/>
          <w:right w:val="single" w:sz="4" w:space="4" w:color="auto"/>
        </w:pBdr>
        <w:shd w:val="clear" w:color="auto" w:fill="D9D9D9"/>
        <w:rPr>
          <w:rFonts w:cs="Arial"/>
          <w:i/>
          <w:szCs w:val="24"/>
        </w:rPr>
      </w:pPr>
      <w:r w:rsidRPr="00E5243B">
        <w:rPr>
          <w:rFonts w:cs="Arial"/>
          <w:i/>
          <w:sz w:val="28"/>
          <w:szCs w:val="28"/>
        </w:rPr>
        <w:t>“</w:t>
      </w:r>
      <w:r w:rsidRPr="00E5243B">
        <w:rPr>
          <w:rFonts w:cs="Arial"/>
          <w:i/>
          <w:szCs w:val="24"/>
        </w:rPr>
        <w:t>There is a significant evidence base for the benefits of empowering and engaging communities, but often it is dissipated and available way in ways that make local comparison and evaluation difficult. Getting smarter at improving health and wellbeing through empowering and engaging communities will require a better, shared understanding of what good looks like and how to measure it. This must go beyond blunt proxy measures, such as reduced hospital admissions and help to articulate the broader benefits to the system and to communities in the medium and longer term in a clear and consistent way”</w:t>
      </w:r>
    </w:p>
    <w:p w:rsidR="00762B0D" w:rsidRPr="00E5243B" w:rsidRDefault="00762B0D" w:rsidP="00762B0D">
      <w:pPr>
        <w:pBdr>
          <w:top w:val="single" w:sz="4" w:space="1" w:color="auto"/>
          <w:left w:val="single" w:sz="4" w:space="4" w:color="auto"/>
          <w:bottom w:val="single" w:sz="4" w:space="2" w:color="auto"/>
          <w:right w:val="single" w:sz="4" w:space="4" w:color="auto"/>
        </w:pBdr>
        <w:shd w:val="clear" w:color="auto" w:fill="D9D9D9"/>
        <w:rPr>
          <w:rFonts w:cs="Arial"/>
          <w:i/>
          <w:szCs w:val="24"/>
        </w:rPr>
      </w:pPr>
    </w:p>
    <w:p w:rsidR="00871C94" w:rsidRPr="00E5243B" w:rsidRDefault="00871C94" w:rsidP="00762B0D">
      <w:pPr>
        <w:pBdr>
          <w:top w:val="single" w:sz="4" w:space="1" w:color="auto"/>
          <w:left w:val="single" w:sz="4" w:space="4" w:color="auto"/>
          <w:bottom w:val="single" w:sz="4" w:space="2" w:color="auto"/>
          <w:right w:val="single" w:sz="4" w:space="4" w:color="auto"/>
        </w:pBdr>
        <w:shd w:val="clear" w:color="auto" w:fill="D9D9D9"/>
        <w:rPr>
          <w:rFonts w:cs="Arial"/>
          <w:szCs w:val="24"/>
        </w:rPr>
      </w:pPr>
      <w:r w:rsidRPr="00E5243B">
        <w:rPr>
          <w:rFonts w:cs="Arial"/>
          <w:szCs w:val="24"/>
        </w:rPr>
        <w:t xml:space="preserve"> </w:t>
      </w:r>
      <w:r w:rsidR="00875928" w:rsidRPr="00E5243B">
        <w:rPr>
          <w:rFonts w:cs="Arial"/>
          <w:i/>
          <w:szCs w:val="24"/>
        </w:rPr>
        <w:t xml:space="preserve">Engaging and empowering communities: </w:t>
      </w:r>
      <w:r w:rsidR="00875928" w:rsidRPr="00E5243B">
        <w:rPr>
          <w:rFonts w:cs="Arial"/>
          <w:szCs w:val="24"/>
        </w:rPr>
        <w:t xml:space="preserve">Our shared commitment and call to action, </w:t>
      </w:r>
      <w:r w:rsidR="00762B0D" w:rsidRPr="00E5243B">
        <w:rPr>
          <w:rFonts w:cs="Arial"/>
          <w:szCs w:val="24"/>
        </w:rPr>
        <w:t xml:space="preserve">TLAP, </w:t>
      </w:r>
      <w:r w:rsidR="00875928" w:rsidRPr="00E5243B">
        <w:rPr>
          <w:rFonts w:cs="Arial"/>
          <w:szCs w:val="24"/>
        </w:rPr>
        <w:t>2016</w:t>
      </w:r>
    </w:p>
    <w:p w:rsidR="00762B0D" w:rsidRPr="00E5243B" w:rsidRDefault="00762B0D" w:rsidP="00762B0D">
      <w:pPr>
        <w:pBdr>
          <w:top w:val="single" w:sz="4" w:space="1" w:color="auto"/>
          <w:left w:val="single" w:sz="4" w:space="4" w:color="auto"/>
          <w:bottom w:val="single" w:sz="4" w:space="2" w:color="auto"/>
          <w:right w:val="single" w:sz="4" w:space="4" w:color="auto"/>
        </w:pBdr>
        <w:shd w:val="clear" w:color="auto" w:fill="D9D9D9"/>
        <w:rPr>
          <w:rFonts w:cs="Arial"/>
          <w:sz w:val="28"/>
          <w:szCs w:val="28"/>
        </w:rPr>
      </w:pPr>
    </w:p>
    <w:p w:rsidR="00762B0D" w:rsidRPr="00E5243B" w:rsidRDefault="00762B0D" w:rsidP="000E4B80">
      <w:pPr>
        <w:rPr>
          <w:rFonts w:ascii="Calibri" w:hAnsi="Calibri"/>
          <w:b/>
          <w:sz w:val="28"/>
          <w:szCs w:val="28"/>
        </w:rPr>
      </w:pPr>
    </w:p>
    <w:p w:rsidR="00871C94" w:rsidRPr="00EC7BDD" w:rsidRDefault="00C37A91" w:rsidP="000E4B80">
      <w:pPr>
        <w:rPr>
          <w:rFonts w:cs="Arial"/>
          <w:szCs w:val="24"/>
        </w:rPr>
      </w:pPr>
      <w:r>
        <w:rPr>
          <w:rFonts w:cs="Arial"/>
          <w:szCs w:val="24"/>
        </w:rPr>
        <w:t xml:space="preserve">At this forthcoming BCC Network meeting we will hear about </w:t>
      </w:r>
      <w:r w:rsidR="00762B0D" w:rsidRPr="00EC7BDD">
        <w:rPr>
          <w:rFonts w:cs="Arial"/>
          <w:szCs w:val="24"/>
        </w:rPr>
        <w:t xml:space="preserve">innovative community based approaches to improving health and wellbeing and the challenge of creating the evidence that demonstrates their positive impact. There will be an opportunity to share what people are doing in the area of evidence and identify what can be done to overcome the </w:t>
      </w:r>
      <w:r w:rsidR="00B466BD" w:rsidRPr="00EC7BDD">
        <w:rPr>
          <w:rFonts w:cs="Arial"/>
          <w:szCs w:val="24"/>
        </w:rPr>
        <w:t xml:space="preserve">‘evidence paradox’, </w:t>
      </w:r>
      <w:r w:rsidR="00762B0D" w:rsidRPr="00EC7BDD">
        <w:rPr>
          <w:rFonts w:cs="Arial"/>
          <w:szCs w:val="24"/>
        </w:rPr>
        <w:t>where</w:t>
      </w:r>
      <w:r w:rsidR="00DA600E" w:rsidRPr="00EC7BDD">
        <w:rPr>
          <w:rFonts w:cs="Arial"/>
          <w:szCs w:val="24"/>
        </w:rPr>
        <w:t>by</w:t>
      </w:r>
      <w:r w:rsidR="00762B0D" w:rsidRPr="00EC7BDD">
        <w:rPr>
          <w:rFonts w:cs="Arial"/>
          <w:szCs w:val="24"/>
        </w:rPr>
        <w:t xml:space="preserve"> innovation </w:t>
      </w:r>
      <w:r w:rsidR="00F96C27" w:rsidRPr="00EC7BDD">
        <w:rPr>
          <w:rFonts w:cs="Arial"/>
          <w:szCs w:val="24"/>
        </w:rPr>
        <w:t xml:space="preserve">is </w:t>
      </w:r>
      <w:r w:rsidR="00762B0D" w:rsidRPr="00EC7BDD">
        <w:rPr>
          <w:rFonts w:cs="Arial"/>
          <w:szCs w:val="24"/>
        </w:rPr>
        <w:t>stifled because of a perceive</w:t>
      </w:r>
      <w:r w:rsidR="00DA600E" w:rsidRPr="00EC7BDD">
        <w:rPr>
          <w:rFonts w:cs="Arial"/>
          <w:szCs w:val="24"/>
        </w:rPr>
        <w:t>d</w:t>
      </w:r>
      <w:r w:rsidR="00762B0D" w:rsidRPr="00EC7BDD">
        <w:rPr>
          <w:rFonts w:cs="Arial"/>
          <w:szCs w:val="24"/>
        </w:rPr>
        <w:t xml:space="preserve"> lack </w:t>
      </w:r>
      <w:r w:rsidR="00DA600E" w:rsidRPr="00EC7BDD">
        <w:rPr>
          <w:rFonts w:cs="Arial"/>
          <w:szCs w:val="24"/>
        </w:rPr>
        <w:t>of the right sort of evidence</w:t>
      </w:r>
      <w:r w:rsidR="00B466BD" w:rsidRPr="00EC7BDD">
        <w:rPr>
          <w:rFonts w:cs="Arial"/>
          <w:szCs w:val="24"/>
        </w:rPr>
        <w:t xml:space="preserve">. A circular argument, </w:t>
      </w:r>
      <w:r w:rsidR="00DA600E" w:rsidRPr="00EC7BDD">
        <w:rPr>
          <w:rFonts w:cs="Arial"/>
          <w:szCs w:val="24"/>
        </w:rPr>
        <w:t xml:space="preserve">so that if we never attempt to deliver new community based approaches, we can never prove </w:t>
      </w:r>
      <w:r w:rsidR="00B466BD" w:rsidRPr="00EC7BDD">
        <w:rPr>
          <w:rFonts w:cs="Arial"/>
          <w:szCs w:val="24"/>
        </w:rPr>
        <w:t>it works.</w:t>
      </w:r>
    </w:p>
    <w:p w:rsidR="00871C94" w:rsidRPr="00EC7BDD" w:rsidRDefault="00871C94" w:rsidP="000E4B80">
      <w:pPr>
        <w:rPr>
          <w:rFonts w:ascii="Calibri" w:hAnsi="Calibri"/>
          <w:b/>
          <w:szCs w:val="24"/>
        </w:rPr>
      </w:pPr>
    </w:p>
    <w:p w:rsidR="00B466BD" w:rsidRDefault="00B466BD" w:rsidP="000E4B80">
      <w:pPr>
        <w:rPr>
          <w:rFonts w:ascii="Calibri" w:hAnsi="Calibri"/>
          <w:b/>
          <w:sz w:val="22"/>
        </w:rPr>
      </w:pPr>
    </w:p>
    <w:p w:rsidR="00B466BD" w:rsidRDefault="00B466BD" w:rsidP="000E4B80">
      <w:pPr>
        <w:rPr>
          <w:rFonts w:ascii="Calibri" w:hAnsi="Calibri"/>
          <w:b/>
          <w:sz w:val="22"/>
        </w:rPr>
      </w:pPr>
    </w:p>
    <w:p w:rsidR="00F96C27" w:rsidRDefault="00F96C27" w:rsidP="000E4B80">
      <w:pPr>
        <w:rPr>
          <w:rFonts w:ascii="Calibri" w:hAnsi="Calibri"/>
          <w:b/>
          <w:sz w:val="22"/>
        </w:rPr>
      </w:pPr>
    </w:p>
    <w:p w:rsidR="00E5243B" w:rsidRDefault="00E5243B" w:rsidP="000E4B80">
      <w:pPr>
        <w:rPr>
          <w:rFonts w:ascii="Calibri" w:hAnsi="Calibri"/>
          <w:b/>
          <w:sz w:val="22"/>
        </w:rPr>
      </w:pPr>
    </w:p>
    <w:p w:rsidR="008E59AD" w:rsidRPr="00795343" w:rsidRDefault="008E59AD" w:rsidP="008E59AD">
      <w:pPr>
        <w:rPr>
          <w:rFonts w:ascii="Calibri" w:hAnsi="Calibri"/>
          <w:b/>
          <w:sz w:val="22"/>
        </w:rPr>
      </w:pPr>
    </w:p>
    <w:sectPr w:rsidR="008E59AD" w:rsidRPr="00795343" w:rsidSect="00EC7BDD">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649C1"/>
    <w:multiLevelType w:val="hybridMultilevel"/>
    <w:tmpl w:val="713A4E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5D4D97"/>
    <w:multiLevelType w:val="hybridMultilevel"/>
    <w:tmpl w:val="BD588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202E0F"/>
    <w:multiLevelType w:val="hybridMultilevel"/>
    <w:tmpl w:val="3C6A0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80"/>
    <w:rsid w:val="000E4B80"/>
    <w:rsid w:val="0016082E"/>
    <w:rsid w:val="002433D4"/>
    <w:rsid w:val="00315795"/>
    <w:rsid w:val="003A1B65"/>
    <w:rsid w:val="003B7710"/>
    <w:rsid w:val="0043590B"/>
    <w:rsid w:val="00582DED"/>
    <w:rsid w:val="005F7652"/>
    <w:rsid w:val="00762B0D"/>
    <w:rsid w:val="00795343"/>
    <w:rsid w:val="00806B10"/>
    <w:rsid w:val="00871C94"/>
    <w:rsid w:val="00875928"/>
    <w:rsid w:val="008E59AD"/>
    <w:rsid w:val="0092416B"/>
    <w:rsid w:val="00967B56"/>
    <w:rsid w:val="009931F6"/>
    <w:rsid w:val="00AA61ED"/>
    <w:rsid w:val="00B466BD"/>
    <w:rsid w:val="00B95405"/>
    <w:rsid w:val="00BC4524"/>
    <w:rsid w:val="00C37A91"/>
    <w:rsid w:val="00D83D32"/>
    <w:rsid w:val="00DA600E"/>
    <w:rsid w:val="00E5243B"/>
    <w:rsid w:val="00EC7BDD"/>
    <w:rsid w:val="00F96C27"/>
    <w:rsid w:val="00FF2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249BA-DB5D-4D23-894E-D90EA3D2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ED"/>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928"/>
    <w:rPr>
      <w:color w:val="0563C1"/>
      <w:u w:val="single"/>
    </w:rPr>
  </w:style>
  <w:style w:type="paragraph" w:styleId="BalloonText">
    <w:name w:val="Balloon Text"/>
    <w:basedOn w:val="Normal"/>
    <w:link w:val="BalloonTextChar"/>
    <w:uiPriority w:val="99"/>
    <w:semiHidden/>
    <w:unhideWhenUsed/>
    <w:rsid w:val="00DA600E"/>
    <w:rPr>
      <w:rFonts w:ascii="Tahoma" w:hAnsi="Tahoma" w:cs="Tahoma"/>
      <w:sz w:val="16"/>
      <w:szCs w:val="16"/>
    </w:rPr>
  </w:style>
  <w:style w:type="character" w:customStyle="1" w:styleId="BalloonTextChar">
    <w:name w:val="Balloon Text Char"/>
    <w:basedOn w:val="DefaultParagraphFont"/>
    <w:link w:val="BalloonText"/>
    <w:uiPriority w:val="99"/>
    <w:semiHidden/>
    <w:rsid w:val="00DA600E"/>
    <w:rPr>
      <w:rFonts w:ascii="Tahoma" w:hAnsi="Tahoma" w:cs="Tahoma"/>
      <w:sz w:val="16"/>
      <w:szCs w:val="16"/>
    </w:rPr>
  </w:style>
  <w:style w:type="paragraph" w:styleId="ListParagraph">
    <w:name w:val="List Paragraph"/>
    <w:basedOn w:val="Normal"/>
    <w:uiPriority w:val="34"/>
    <w:qFormat/>
    <w:rsid w:val="00F96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inklocalactpersonal.org.uk/Latest/Engaging-and-Empowering-Communities-a-shared-commitment-and-call-to-ac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1841</CharactersWithSpaces>
  <SharedDoc>false</SharedDoc>
  <HLinks>
    <vt:vector size="6" baseType="variant">
      <vt:variant>
        <vt:i4>7405681</vt:i4>
      </vt:variant>
      <vt:variant>
        <vt:i4>0</vt:i4>
      </vt:variant>
      <vt:variant>
        <vt:i4>0</vt:i4>
      </vt:variant>
      <vt:variant>
        <vt:i4>5</vt:i4>
      </vt:variant>
      <vt:variant>
        <vt:lpwstr>https://www.thinklocalactpersonal.org.uk/Latest/Engaging-and-Empowering-Communities-a-shared-commitment-and-call-to-action/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Parkin</dc:creator>
  <cp:keywords/>
  <cp:lastModifiedBy>Andrew Parkinson</cp:lastModifiedBy>
  <cp:revision>4</cp:revision>
  <cp:lastPrinted>2017-07-28T11:48:00Z</cp:lastPrinted>
  <dcterms:created xsi:type="dcterms:W3CDTF">2017-07-28T13:01:00Z</dcterms:created>
  <dcterms:modified xsi:type="dcterms:W3CDTF">2017-08-16T13:14:00Z</dcterms:modified>
</cp:coreProperties>
</file>