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88" w:rsidRPr="00123048" w:rsidRDefault="005C0988" w:rsidP="005C0988">
      <w:pPr>
        <w:rPr>
          <w:rFonts w:ascii="Arial" w:hAnsi="Arial" w:cs="Arial"/>
          <w:i/>
          <w:color w:val="800080"/>
          <w:sz w:val="32"/>
          <w:szCs w:val="32"/>
        </w:rPr>
      </w:pPr>
      <w:r w:rsidRPr="00123048">
        <w:rPr>
          <w:rFonts w:ascii="Arial" w:hAnsi="Arial" w:cs="Arial"/>
          <w:i/>
          <w:color w:val="800080"/>
          <w:sz w:val="32"/>
          <w:szCs w:val="32"/>
        </w:rPr>
        <w:t xml:space="preserve">HOW WILL WE MEASURE SUCCESS? </w:t>
      </w:r>
    </w:p>
    <w:p w:rsidR="005C0988" w:rsidRDefault="005C0988" w:rsidP="005C0988">
      <w:pPr>
        <w:jc w:val="center"/>
        <w:rPr>
          <w:rFonts w:ascii="Arial" w:hAnsi="Arial" w:cs="Arial"/>
          <w:b/>
        </w:rPr>
      </w:pPr>
    </w:p>
    <w:p w:rsidR="005C0988" w:rsidRPr="00C65170" w:rsidRDefault="005C0988" w:rsidP="005C0988">
      <w:pPr>
        <w:rPr>
          <w:rFonts w:ascii="Arial" w:hAnsi="Arial" w:cs="Arial"/>
          <w:b/>
          <w:i/>
          <w:color w:val="800080"/>
          <w:sz w:val="20"/>
          <w:szCs w:val="20"/>
        </w:rPr>
      </w:pPr>
      <w:r w:rsidRPr="00C65170">
        <w:rPr>
          <w:rFonts w:ascii="Arial" w:hAnsi="Arial" w:cs="Arial"/>
          <w:b/>
          <w:i/>
          <w:color w:val="800080"/>
          <w:sz w:val="20"/>
          <w:szCs w:val="20"/>
        </w:rPr>
        <w:t>The Statutory Guidance says that local authorities should review and publish information about the effectiveness of the information and advice service locally, including customer satisfaction.</w:t>
      </w:r>
    </w:p>
    <w:p w:rsidR="005C0988" w:rsidRPr="00B4402B" w:rsidRDefault="005C0988" w:rsidP="005C0988">
      <w:pPr>
        <w:rPr>
          <w:rFonts w:ascii="Arial" w:hAnsi="Arial" w:cs="Arial"/>
          <w:color w:val="800080"/>
          <w:sz w:val="20"/>
          <w:szCs w:val="20"/>
        </w:rPr>
      </w:pPr>
    </w:p>
    <w:p w:rsidR="005C0988" w:rsidRPr="00B4402B" w:rsidRDefault="005C0988" w:rsidP="005C0988">
      <w:pPr>
        <w:rPr>
          <w:rFonts w:ascii="Arial" w:hAnsi="Arial" w:cs="Arial"/>
          <w:i/>
          <w:color w:val="800080"/>
          <w:sz w:val="20"/>
          <w:szCs w:val="20"/>
        </w:rPr>
      </w:pPr>
      <w:r w:rsidRPr="00B4402B">
        <w:rPr>
          <w:rFonts w:ascii="Arial" w:hAnsi="Arial" w:cs="Arial"/>
          <w:i/>
          <w:color w:val="800080"/>
          <w:sz w:val="20"/>
          <w:szCs w:val="20"/>
        </w:rPr>
        <w:t>It can be especially tricky to monitor the benefits – and especially the outcomes – of information and advice</w:t>
      </w:r>
      <w:r w:rsidRPr="00B4402B">
        <w:rPr>
          <w:rStyle w:val="FootnoteReference"/>
          <w:rFonts w:ascii="Arial" w:hAnsi="Arial" w:cs="Arial"/>
          <w:i/>
          <w:color w:val="800080"/>
          <w:sz w:val="20"/>
          <w:szCs w:val="20"/>
        </w:rPr>
        <w:footnoteReference w:id="1"/>
      </w:r>
      <w:r w:rsidRPr="00B4402B">
        <w:rPr>
          <w:rFonts w:ascii="Arial" w:hAnsi="Arial" w:cs="Arial"/>
          <w:i/>
          <w:color w:val="800080"/>
          <w:sz w:val="20"/>
          <w:szCs w:val="20"/>
        </w:rPr>
        <w:t xml:space="preserve">. </w:t>
      </w:r>
    </w:p>
    <w:p w:rsidR="005C0988" w:rsidRPr="00B4402B" w:rsidRDefault="005C0988" w:rsidP="005C0988">
      <w:pPr>
        <w:rPr>
          <w:rFonts w:ascii="Arial" w:hAnsi="Arial" w:cs="Arial"/>
          <w:i/>
          <w:color w:val="800080"/>
          <w:sz w:val="20"/>
          <w:szCs w:val="20"/>
        </w:rPr>
      </w:pPr>
    </w:p>
    <w:p w:rsidR="005C0988" w:rsidRPr="00B4402B" w:rsidRDefault="005C0988" w:rsidP="005C0988">
      <w:pPr>
        <w:rPr>
          <w:rFonts w:ascii="Arial" w:hAnsi="Arial" w:cs="Arial"/>
          <w:i/>
          <w:color w:val="800080"/>
          <w:sz w:val="20"/>
          <w:szCs w:val="20"/>
        </w:rPr>
      </w:pPr>
      <w:r w:rsidRPr="00B4402B">
        <w:rPr>
          <w:rFonts w:ascii="Arial" w:hAnsi="Arial" w:cs="Arial"/>
          <w:i/>
          <w:color w:val="800080"/>
          <w:sz w:val="20"/>
          <w:szCs w:val="20"/>
        </w:rPr>
        <w:t xml:space="preserve">The task is complicated by the fact that </w:t>
      </w:r>
      <w:r>
        <w:rPr>
          <w:rFonts w:ascii="Arial" w:hAnsi="Arial" w:cs="Arial"/>
          <w:i/>
          <w:color w:val="800080"/>
          <w:sz w:val="20"/>
          <w:szCs w:val="20"/>
        </w:rPr>
        <w:t>many key services are delivered by</w:t>
      </w:r>
      <w:r w:rsidRPr="00B4402B">
        <w:rPr>
          <w:rFonts w:ascii="Arial" w:hAnsi="Arial" w:cs="Arial"/>
          <w:i/>
          <w:color w:val="800080"/>
          <w:sz w:val="20"/>
          <w:szCs w:val="20"/>
        </w:rPr>
        <w:t xml:space="preserve"> independent sector agencies</w:t>
      </w:r>
      <w:r>
        <w:rPr>
          <w:rFonts w:ascii="Arial" w:hAnsi="Arial" w:cs="Arial"/>
          <w:i/>
          <w:color w:val="800080"/>
          <w:sz w:val="20"/>
          <w:szCs w:val="20"/>
        </w:rPr>
        <w:t>. Some are commissioned or funded by local authorities or their partners</w:t>
      </w:r>
      <w:r w:rsidRPr="00B4402B">
        <w:rPr>
          <w:rFonts w:ascii="Arial" w:hAnsi="Arial" w:cs="Arial"/>
          <w:i/>
          <w:color w:val="800080"/>
          <w:sz w:val="20"/>
          <w:szCs w:val="20"/>
        </w:rPr>
        <w:t>.  This makes it desirable that any new contract specifications specify the data that will be collected (including quality standards</w:t>
      </w:r>
      <w:r>
        <w:rPr>
          <w:rFonts w:ascii="Arial" w:hAnsi="Arial" w:cs="Arial"/>
          <w:i/>
          <w:color w:val="800080"/>
          <w:sz w:val="20"/>
          <w:szCs w:val="20"/>
        </w:rPr>
        <w:t>, and/or outcomes achieved</w:t>
      </w:r>
      <w:r w:rsidRPr="00B4402B">
        <w:rPr>
          <w:rFonts w:ascii="Arial" w:hAnsi="Arial" w:cs="Arial"/>
          <w:i/>
          <w:color w:val="800080"/>
          <w:sz w:val="20"/>
          <w:szCs w:val="20"/>
        </w:rPr>
        <w:t xml:space="preserve">) </w:t>
      </w:r>
      <w:r>
        <w:rPr>
          <w:rFonts w:ascii="Arial" w:hAnsi="Arial" w:cs="Arial"/>
          <w:i/>
          <w:color w:val="800080"/>
          <w:sz w:val="20"/>
          <w:szCs w:val="20"/>
        </w:rPr>
        <w:t>- and perhaps</w:t>
      </w:r>
      <w:r w:rsidRPr="00B4402B">
        <w:rPr>
          <w:rFonts w:ascii="Arial" w:hAnsi="Arial" w:cs="Arial"/>
          <w:i/>
          <w:color w:val="800080"/>
          <w:sz w:val="20"/>
          <w:szCs w:val="20"/>
        </w:rPr>
        <w:t xml:space="preserve"> the local authority and its partners </w:t>
      </w:r>
      <w:r>
        <w:rPr>
          <w:rFonts w:ascii="Arial" w:hAnsi="Arial" w:cs="Arial"/>
          <w:i/>
          <w:color w:val="800080"/>
          <w:sz w:val="20"/>
          <w:szCs w:val="20"/>
        </w:rPr>
        <w:t xml:space="preserve">should </w:t>
      </w:r>
      <w:r w:rsidRPr="00B4402B">
        <w:rPr>
          <w:rFonts w:ascii="Arial" w:hAnsi="Arial" w:cs="Arial"/>
          <w:i/>
          <w:color w:val="800080"/>
          <w:sz w:val="20"/>
          <w:szCs w:val="20"/>
        </w:rPr>
        <w:t>work towards developing some shared standards and measures. A</w:t>
      </w:r>
      <w:r>
        <w:rPr>
          <w:rFonts w:ascii="Arial" w:hAnsi="Arial" w:cs="Arial"/>
          <w:i/>
          <w:color w:val="800080"/>
          <w:sz w:val="20"/>
          <w:szCs w:val="20"/>
        </w:rPr>
        <w:t xml:space="preserve"> pragmatic approach will</w:t>
      </w:r>
      <w:r w:rsidRPr="00B4402B">
        <w:rPr>
          <w:rFonts w:ascii="Arial" w:hAnsi="Arial" w:cs="Arial"/>
          <w:i/>
          <w:color w:val="800080"/>
          <w:sz w:val="20"/>
          <w:szCs w:val="20"/>
        </w:rPr>
        <w:t xml:space="preserve"> be needed, which takes account of agencies’ capacity to collect detailed information and the potential impact for customers.</w:t>
      </w:r>
    </w:p>
    <w:p w:rsidR="005C0988" w:rsidRPr="00B4402B" w:rsidRDefault="005C0988" w:rsidP="005C0988">
      <w:pPr>
        <w:rPr>
          <w:rFonts w:ascii="Arial" w:hAnsi="Arial" w:cs="Arial"/>
          <w:i/>
          <w:color w:val="800080"/>
          <w:sz w:val="20"/>
          <w:szCs w:val="20"/>
        </w:rPr>
      </w:pPr>
    </w:p>
    <w:p w:rsidR="005C0988" w:rsidRDefault="005C0988" w:rsidP="005C0988">
      <w:pPr>
        <w:rPr>
          <w:rFonts w:ascii="Arial" w:hAnsi="Arial" w:cs="Arial"/>
          <w:i/>
          <w:color w:val="800080"/>
          <w:sz w:val="20"/>
          <w:szCs w:val="20"/>
        </w:rPr>
      </w:pPr>
      <w:r w:rsidRPr="007C182C">
        <w:rPr>
          <w:rFonts w:ascii="Arial" w:hAnsi="Arial" w:cs="Arial"/>
          <w:b/>
          <w:i/>
          <w:color w:val="800080"/>
          <w:sz w:val="20"/>
          <w:szCs w:val="20"/>
        </w:rPr>
        <w:t>To comply with the statutory Guidance, a useful first step would be to make decisions about how “customer satisfaction” will be measured</w:t>
      </w:r>
      <w:r w:rsidRPr="00B4402B">
        <w:rPr>
          <w:rFonts w:ascii="Arial" w:hAnsi="Arial" w:cs="Arial"/>
          <w:i/>
          <w:color w:val="800080"/>
          <w:sz w:val="20"/>
          <w:szCs w:val="20"/>
        </w:rPr>
        <w:t xml:space="preserve"> – e.g. via routine monitoring, time-limited surveys, mystery shopping exercises, etc.</w:t>
      </w:r>
      <w:r>
        <w:rPr>
          <w:rFonts w:ascii="Arial" w:hAnsi="Arial" w:cs="Arial"/>
          <w:i/>
          <w:color w:val="800080"/>
          <w:sz w:val="20"/>
          <w:szCs w:val="20"/>
        </w:rPr>
        <w:t xml:space="preserve"> (You may well need to establish a working group to design and test an approach that can be implemented across agencies).</w:t>
      </w:r>
    </w:p>
    <w:p w:rsidR="005C0988" w:rsidRDefault="005C0988" w:rsidP="005C0988">
      <w:pPr>
        <w:rPr>
          <w:rFonts w:ascii="Arial" w:hAnsi="Arial" w:cs="Arial"/>
          <w:i/>
          <w:color w:val="800080"/>
          <w:sz w:val="20"/>
          <w:szCs w:val="20"/>
        </w:rPr>
      </w:pPr>
    </w:p>
    <w:p w:rsidR="005C0988" w:rsidRPr="00B4402B" w:rsidRDefault="005C0988" w:rsidP="005C0988">
      <w:pPr>
        <w:rPr>
          <w:rFonts w:ascii="Arial" w:hAnsi="Arial" w:cs="Arial"/>
          <w:i/>
          <w:color w:val="800080"/>
          <w:sz w:val="20"/>
          <w:szCs w:val="20"/>
        </w:rPr>
      </w:pPr>
      <w:r>
        <w:rPr>
          <w:rFonts w:ascii="Arial" w:hAnsi="Arial" w:cs="Arial"/>
          <w:i/>
          <w:color w:val="800080"/>
          <w:sz w:val="20"/>
          <w:szCs w:val="20"/>
        </w:rPr>
        <w:t>At this stage, you are advised to do some thinking about your existing frameworks and processes, and how these could be improved in an incremental way.  You can use this Monitoring Framework to record what evidence you collect at present, and also to identify any gaps in your evidence, and your plans to address these.</w:t>
      </w:r>
    </w:p>
    <w:p w:rsidR="005C0988" w:rsidRDefault="005C0988" w:rsidP="005C0988">
      <w:pPr>
        <w:rPr>
          <w:rFonts w:ascii="Arial" w:hAnsi="Arial" w:cs="Arial"/>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3155"/>
        <w:gridCol w:w="2416"/>
      </w:tblGrid>
      <w:tr w:rsidR="005C0988" w:rsidRPr="00500F86" w:rsidTr="00015D46">
        <w:tc>
          <w:tcPr>
            <w:tcW w:w="8522" w:type="dxa"/>
            <w:gridSpan w:val="3"/>
            <w:shd w:val="clear" w:color="auto" w:fill="auto"/>
          </w:tcPr>
          <w:p w:rsidR="005C0988" w:rsidRPr="00500F86" w:rsidRDefault="005C0988" w:rsidP="00015D46">
            <w:pPr>
              <w:rPr>
                <w:rFonts w:ascii="Arial" w:hAnsi="Arial" w:cs="Arial"/>
                <w:b/>
              </w:rPr>
            </w:pPr>
          </w:p>
          <w:p w:rsidR="005C0988" w:rsidRPr="00500F86" w:rsidRDefault="005C0988" w:rsidP="005C0988">
            <w:pPr>
              <w:numPr>
                <w:ilvl w:val="0"/>
                <w:numId w:val="6"/>
              </w:numPr>
              <w:rPr>
                <w:rFonts w:ascii="Arial" w:hAnsi="Arial" w:cs="Arial"/>
                <w:b/>
                <w:sz w:val="28"/>
                <w:szCs w:val="28"/>
              </w:rPr>
            </w:pPr>
            <w:r w:rsidRPr="00500F86">
              <w:rPr>
                <w:rFonts w:ascii="Arial" w:hAnsi="Arial" w:cs="Arial"/>
                <w:b/>
                <w:sz w:val="28"/>
                <w:szCs w:val="28"/>
              </w:rPr>
              <w:t>Monitoring Framework</w:t>
            </w:r>
          </w:p>
          <w:p w:rsidR="005C0988" w:rsidRPr="00500F86" w:rsidRDefault="005C0988" w:rsidP="00015D46">
            <w:pPr>
              <w:rPr>
                <w:rFonts w:ascii="Arial" w:hAnsi="Arial" w:cs="Arial"/>
                <w:b/>
              </w:rPr>
            </w:pPr>
          </w:p>
        </w:tc>
      </w:tr>
      <w:tr w:rsidR="005C0988" w:rsidRPr="00500F86" w:rsidTr="00015D46">
        <w:tc>
          <w:tcPr>
            <w:tcW w:w="2840" w:type="dxa"/>
            <w:shd w:val="clear" w:color="auto" w:fill="C0C0C0"/>
          </w:tcPr>
          <w:p w:rsidR="005C0988" w:rsidRPr="00500F86" w:rsidRDefault="005C0988" w:rsidP="00015D46">
            <w:pPr>
              <w:rPr>
                <w:rFonts w:ascii="Arial" w:hAnsi="Arial" w:cs="Arial"/>
                <w:b/>
              </w:rPr>
            </w:pPr>
            <w:r w:rsidRPr="00500F86">
              <w:rPr>
                <w:rFonts w:ascii="Arial" w:hAnsi="Arial" w:cs="Arial"/>
                <w:b/>
              </w:rPr>
              <w:t>Evidence required</w:t>
            </w:r>
          </w:p>
          <w:p w:rsidR="005C0988" w:rsidRPr="00500F86" w:rsidRDefault="005C0988" w:rsidP="00015D46">
            <w:pPr>
              <w:rPr>
                <w:rFonts w:ascii="Arial" w:hAnsi="Arial" w:cs="Arial"/>
                <w:i/>
                <w:sz w:val="20"/>
                <w:szCs w:val="20"/>
              </w:rPr>
            </w:pPr>
            <w:r w:rsidRPr="00500F86">
              <w:rPr>
                <w:rFonts w:ascii="Arial" w:hAnsi="Arial" w:cs="Arial"/>
                <w:i/>
                <w:sz w:val="20"/>
                <w:szCs w:val="20"/>
              </w:rPr>
              <w:t>(</w:t>
            </w:r>
            <w:proofErr w:type="gramStart"/>
            <w:r w:rsidRPr="00500F86">
              <w:rPr>
                <w:rFonts w:ascii="Arial" w:hAnsi="Arial" w:cs="Arial"/>
                <w:i/>
                <w:sz w:val="20"/>
                <w:szCs w:val="20"/>
              </w:rPr>
              <w:t>i.e</w:t>
            </w:r>
            <w:proofErr w:type="gramEnd"/>
            <w:r w:rsidRPr="00500F86">
              <w:rPr>
                <w:rFonts w:ascii="Arial" w:hAnsi="Arial" w:cs="Arial"/>
                <w:i/>
                <w:sz w:val="20"/>
                <w:szCs w:val="20"/>
              </w:rPr>
              <w:t>. what do we want/need to collect?)</w:t>
            </w:r>
          </w:p>
        </w:tc>
        <w:tc>
          <w:tcPr>
            <w:tcW w:w="3208" w:type="dxa"/>
            <w:shd w:val="clear" w:color="auto" w:fill="C0C0C0"/>
          </w:tcPr>
          <w:p w:rsidR="005C0988" w:rsidRPr="00500F86" w:rsidRDefault="005C0988" w:rsidP="00015D46">
            <w:pPr>
              <w:rPr>
                <w:rFonts w:ascii="Arial" w:hAnsi="Arial" w:cs="Arial"/>
                <w:b/>
              </w:rPr>
            </w:pPr>
            <w:r w:rsidRPr="00500F86">
              <w:rPr>
                <w:rFonts w:ascii="Arial" w:hAnsi="Arial" w:cs="Arial"/>
                <w:b/>
              </w:rPr>
              <w:t>Data collection process/mechanism (including frequency)</w:t>
            </w:r>
          </w:p>
          <w:p w:rsidR="005C0988" w:rsidRPr="00500F86" w:rsidRDefault="005C0988" w:rsidP="00015D46">
            <w:pPr>
              <w:rPr>
                <w:rFonts w:ascii="Arial" w:hAnsi="Arial" w:cs="Arial"/>
                <w:i/>
                <w:sz w:val="20"/>
                <w:szCs w:val="20"/>
              </w:rPr>
            </w:pPr>
            <w:r w:rsidRPr="00500F86">
              <w:rPr>
                <w:rFonts w:ascii="Arial" w:hAnsi="Arial" w:cs="Arial"/>
                <w:i/>
                <w:sz w:val="20"/>
                <w:szCs w:val="20"/>
              </w:rPr>
              <w:t>(</w:t>
            </w:r>
            <w:proofErr w:type="gramStart"/>
            <w:r w:rsidRPr="00500F86">
              <w:rPr>
                <w:rFonts w:ascii="Arial" w:hAnsi="Arial" w:cs="Arial"/>
                <w:i/>
                <w:sz w:val="20"/>
                <w:szCs w:val="20"/>
              </w:rPr>
              <w:t>i.e</w:t>
            </w:r>
            <w:proofErr w:type="gramEnd"/>
            <w:r w:rsidRPr="00500F86">
              <w:rPr>
                <w:rFonts w:ascii="Arial" w:hAnsi="Arial" w:cs="Arial"/>
                <w:i/>
                <w:sz w:val="20"/>
                <w:szCs w:val="20"/>
              </w:rPr>
              <w:t>. how do we currently collect this, and when?)</w:t>
            </w:r>
          </w:p>
        </w:tc>
        <w:tc>
          <w:tcPr>
            <w:tcW w:w="2474" w:type="dxa"/>
            <w:shd w:val="clear" w:color="auto" w:fill="C0C0C0"/>
          </w:tcPr>
          <w:p w:rsidR="005C0988" w:rsidRPr="00500F86" w:rsidRDefault="005C0988" w:rsidP="00015D46">
            <w:pPr>
              <w:rPr>
                <w:rFonts w:ascii="Arial" w:hAnsi="Arial" w:cs="Arial"/>
                <w:b/>
              </w:rPr>
            </w:pPr>
            <w:r w:rsidRPr="00500F86">
              <w:rPr>
                <w:rFonts w:ascii="Arial" w:hAnsi="Arial" w:cs="Arial"/>
                <w:b/>
              </w:rPr>
              <w:t>Development plans</w:t>
            </w:r>
          </w:p>
        </w:tc>
      </w:tr>
      <w:tr w:rsidR="005C0988" w:rsidRPr="00500F86" w:rsidTr="00015D46">
        <w:tc>
          <w:tcPr>
            <w:tcW w:w="2840" w:type="dxa"/>
            <w:shd w:val="clear" w:color="auto" w:fill="auto"/>
          </w:tcPr>
          <w:p w:rsidR="005C0988" w:rsidRPr="00500F86" w:rsidRDefault="005C0988" w:rsidP="00015D46">
            <w:pPr>
              <w:rPr>
                <w:rFonts w:ascii="Arial" w:hAnsi="Arial" w:cs="Arial"/>
                <w:i/>
                <w:color w:val="800080"/>
                <w:sz w:val="20"/>
                <w:szCs w:val="20"/>
                <w:u w:val="single"/>
              </w:rPr>
            </w:pPr>
            <w:r w:rsidRPr="00500F86">
              <w:rPr>
                <w:rFonts w:ascii="Arial" w:hAnsi="Arial" w:cs="Arial"/>
                <w:i/>
                <w:color w:val="800080"/>
                <w:sz w:val="20"/>
                <w:szCs w:val="20"/>
                <w:u w:val="single"/>
              </w:rPr>
              <w:t>Example 1:</w:t>
            </w: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Achievement of Action Plan priorities (and associated milestones)</w:t>
            </w:r>
          </w:p>
        </w:tc>
        <w:tc>
          <w:tcPr>
            <w:tcW w:w="3208" w:type="dxa"/>
            <w:shd w:val="clear" w:color="auto" w:fill="auto"/>
          </w:tcPr>
          <w:p w:rsidR="005C0988" w:rsidRPr="00500F86" w:rsidRDefault="005C0988" w:rsidP="00015D46">
            <w:pPr>
              <w:rPr>
                <w:rFonts w:ascii="Arial" w:hAnsi="Arial" w:cs="Arial"/>
                <w:i/>
                <w:color w:val="800080"/>
                <w:sz w:val="20"/>
                <w:szCs w:val="20"/>
              </w:rPr>
            </w:pPr>
          </w:p>
          <w:p w:rsidR="005C0988" w:rsidRPr="00500F86" w:rsidRDefault="005C0988" w:rsidP="00015D46">
            <w:pPr>
              <w:rPr>
                <w:rFonts w:ascii="Arial" w:hAnsi="Arial" w:cs="Arial"/>
                <w:i/>
                <w:color w:val="800080"/>
                <w:sz w:val="20"/>
                <w:szCs w:val="20"/>
              </w:rPr>
            </w:pPr>
          </w:p>
        </w:tc>
        <w:tc>
          <w:tcPr>
            <w:tcW w:w="2474" w:type="dxa"/>
            <w:shd w:val="clear" w:color="auto" w:fill="auto"/>
          </w:tcPr>
          <w:p w:rsidR="005C0988" w:rsidRPr="00500F86" w:rsidRDefault="005C0988" w:rsidP="00015D46">
            <w:pPr>
              <w:rPr>
                <w:rFonts w:ascii="Arial" w:hAnsi="Arial" w:cs="Arial"/>
                <w:i/>
                <w:color w:val="800080"/>
                <w:sz w:val="20"/>
                <w:szCs w:val="20"/>
              </w:rPr>
            </w:pPr>
          </w:p>
          <w:p w:rsidR="005C0988" w:rsidRPr="00500F86" w:rsidRDefault="005C0988" w:rsidP="00015D46">
            <w:pPr>
              <w:rPr>
                <w:rFonts w:ascii="Arial" w:hAnsi="Arial" w:cs="Arial"/>
                <w:color w:val="800080"/>
              </w:rPr>
            </w:pPr>
            <w:r w:rsidRPr="00500F86">
              <w:rPr>
                <w:rFonts w:ascii="Arial" w:hAnsi="Arial" w:cs="Arial"/>
                <w:i/>
                <w:color w:val="800080"/>
                <w:sz w:val="20"/>
                <w:szCs w:val="20"/>
              </w:rPr>
              <w:t>Bi-monthly monitoring by steering group</w:t>
            </w:r>
          </w:p>
        </w:tc>
      </w:tr>
      <w:tr w:rsidR="005C0988" w:rsidRPr="00500F86" w:rsidTr="00015D46">
        <w:tc>
          <w:tcPr>
            <w:tcW w:w="2840" w:type="dxa"/>
            <w:shd w:val="clear" w:color="auto" w:fill="auto"/>
          </w:tcPr>
          <w:p w:rsidR="005C0988" w:rsidRPr="00500F86" w:rsidRDefault="005C0988" w:rsidP="00015D46">
            <w:pPr>
              <w:rPr>
                <w:rFonts w:ascii="Arial" w:hAnsi="Arial" w:cs="Arial"/>
                <w:i/>
                <w:color w:val="800080"/>
                <w:sz w:val="20"/>
                <w:szCs w:val="20"/>
                <w:u w:val="single"/>
              </w:rPr>
            </w:pPr>
            <w:r w:rsidRPr="00500F86">
              <w:rPr>
                <w:rFonts w:ascii="Arial" w:hAnsi="Arial" w:cs="Arial"/>
                <w:i/>
                <w:color w:val="800080"/>
                <w:sz w:val="20"/>
                <w:szCs w:val="20"/>
                <w:u w:val="single"/>
              </w:rPr>
              <w:t>Example 2:</w:t>
            </w: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 xml:space="preserve">Customer satisfaction* </w:t>
            </w:r>
          </w:p>
          <w:p w:rsidR="005C0988" w:rsidRPr="00500F86" w:rsidRDefault="005C0988" w:rsidP="00015D46">
            <w:pPr>
              <w:rPr>
                <w:rFonts w:ascii="Arial" w:hAnsi="Arial" w:cs="Arial"/>
                <w:i/>
                <w:color w:val="800080"/>
                <w:sz w:val="20"/>
                <w:szCs w:val="20"/>
              </w:rPr>
            </w:pPr>
          </w:p>
          <w:p w:rsidR="005C0988" w:rsidRPr="00500F86" w:rsidRDefault="005C0988" w:rsidP="00015D46">
            <w:pPr>
              <w:rPr>
                <w:rFonts w:ascii="Arial" w:hAnsi="Arial" w:cs="Arial"/>
                <w:i/>
                <w:color w:val="800080"/>
                <w:sz w:val="20"/>
                <w:szCs w:val="20"/>
              </w:rPr>
            </w:pPr>
          </w:p>
          <w:p w:rsidR="005C0988" w:rsidRPr="00500F86" w:rsidRDefault="005C0988" w:rsidP="00015D46">
            <w:pPr>
              <w:rPr>
                <w:rFonts w:ascii="Arial" w:hAnsi="Arial" w:cs="Arial"/>
                <w:i/>
                <w:sz w:val="18"/>
                <w:szCs w:val="18"/>
              </w:rPr>
            </w:pPr>
            <w:r w:rsidRPr="00500F86">
              <w:rPr>
                <w:rFonts w:ascii="Arial" w:hAnsi="Arial" w:cs="Arial"/>
                <w:i/>
                <w:sz w:val="18"/>
                <w:szCs w:val="18"/>
              </w:rPr>
              <w:t>*NB your monitoring should relate to your planned improvements in people’s experience, as set out in Part 3 of the template.</w:t>
            </w:r>
          </w:p>
        </w:tc>
        <w:tc>
          <w:tcPr>
            <w:tcW w:w="3208" w:type="dxa"/>
            <w:shd w:val="clear" w:color="auto" w:fill="auto"/>
          </w:tcPr>
          <w:p w:rsidR="005C0988" w:rsidRPr="00500F86" w:rsidRDefault="005C0988" w:rsidP="00015D46">
            <w:pPr>
              <w:rPr>
                <w:rFonts w:ascii="Arial" w:hAnsi="Arial" w:cs="Arial"/>
                <w:i/>
                <w:color w:val="800080"/>
                <w:sz w:val="20"/>
                <w:szCs w:val="20"/>
              </w:rPr>
            </w:pP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 Questions included in annual ASC user survey (users/carers)</w:t>
            </w: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 Customer feedback on website (ongoing).</w:t>
            </w: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 Periodic mystery shopping carried out by X.</w:t>
            </w: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 Contract monitoring of X Y and Z.</w:t>
            </w:r>
          </w:p>
        </w:tc>
        <w:tc>
          <w:tcPr>
            <w:tcW w:w="2474" w:type="dxa"/>
            <w:shd w:val="clear" w:color="auto" w:fill="auto"/>
          </w:tcPr>
          <w:p w:rsidR="005C0988" w:rsidRPr="00500F86" w:rsidRDefault="005C0988" w:rsidP="00015D46">
            <w:pPr>
              <w:rPr>
                <w:rFonts w:ascii="Arial" w:hAnsi="Arial" w:cs="Arial"/>
                <w:color w:val="800080"/>
              </w:rPr>
            </w:pPr>
          </w:p>
        </w:tc>
      </w:tr>
      <w:tr w:rsidR="005C0988" w:rsidRPr="00500F86" w:rsidTr="00015D46">
        <w:tc>
          <w:tcPr>
            <w:tcW w:w="2840" w:type="dxa"/>
            <w:shd w:val="clear" w:color="auto" w:fill="auto"/>
          </w:tcPr>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u w:val="single"/>
              </w:rPr>
              <w:t>Example 3</w:t>
            </w:r>
            <w:r w:rsidRPr="00500F86">
              <w:rPr>
                <w:rFonts w:ascii="Arial" w:hAnsi="Arial" w:cs="Arial"/>
                <w:i/>
                <w:color w:val="800080"/>
                <w:sz w:val="20"/>
                <w:szCs w:val="20"/>
              </w:rPr>
              <w:t>:</w:t>
            </w: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Quality standards:</w:t>
            </w:r>
          </w:p>
          <w:p w:rsidR="005C0988" w:rsidRPr="00500F86" w:rsidRDefault="005C0988" w:rsidP="005C0988">
            <w:pPr>
              <w:numPr>
                <w:ilvl w:val="0"/>
                <w:numId w:val="3"/>
              </w:numPr>
              <w:rPr>
                <w:rFonts w:ascii="Arial" w:hAnsi="Arial" w:cs="Arial"/>
                <w:i/>
                <w:color w:val="800080"/>
                <w:sz w:val="20"/>
                <w:szCs w:val="20"/>
              </w:rPr>
            </w:pPr>
            <w:r w:rsidRPr="00500F86">
              <w:rPr>
                <w:rFonts w:ascii="Arial" w:hAnsi="Arial" w:cs="Arial"/>
                <w:i/>
                <w:color w:val="800080"/>
                <w:sz w:val="20"/>
                <w:szCs w:val="20"/>
              </w:rPr>
              <w:t>Council:</w:t>
            </w:r>
          </w:p>
          <w:p w:rsidR="005C0988" w:rsidRPr="00500F86" w:rsidRDefault="005C0988" w:rsidP="005C0988">
            <w:pPr>
              <w:numPr>
                <w:ilvl w:val="0"/>
                <w:numId w:val="4"/>
              </w:numPr>
              <w:rPr>
                <w:rFonts w:ascii="Arial" w:hAnsi="Arial" w:cs="Arial"/>
                <w:i/>
                <w:color w:val="800080"/>
                <w:sz w:val="20"/>
                <w:szCs w:val="20"/>
              </w:rPr>
            </w:pPr>
            <w:r w:rsidRPr="00500F86">
              <w:rPr>
                <w:rFonts w:ascii="Arial" w:hAnsi="Arial" w:cs="Arial"/>
                <w:i/>
                <w:color w:val="800080"/>
                <w:sz w:val="20"/>
                <w:szCs w:val="20"/>
              </w:rPr>
              <w:t xml:space="preserve"> </w:t>
            </w:r>
          </w:p>
          <w:p w:rsidR="005C0988" w:rsidRPr="00500F86" w:rsidRDefault="005C0988" w:rsidP="005C0988">
            <w:pPr>
              <w:numPr>
                <w:ilvl w:val="0"/>
                <w:numId w:val="4"/>
              </w:numPr>
              <w:rPr>
                <w:rFonts w:ascii="Arial" w:hAnsi="Arial" w:cs="Arial"/>
                <w:i/>
                <w:color w:val="800080"/>
                <w:sz w:val="20"/>
                <w:szCs w:val="20"/>
              </w:rPr>
            </w:pPr>
            <w:r w:rsidRPr="00500F86">
              <w:rPr>
                <w:rFonts w:ascii="Arial" w:hAnsi="Arial" w:cs="Arial"/>
                <w:i/>
                <w:color w:val="800080"/>
                <w:sz w:val="20"/>
                <w:szCs w:val="20"/>
              </w:rPr>
              <w:t xml:space="preserve"> </w:t>
            </w:r>
          </w:p>
          <w:p w:rsidR="005C0988" w:rsidRPr="00500F86" w:rsidRDefault="005C0988" w:rsidP="00015D46">
            <w:pPr>
              <w:rPr>
                <w:rFonts w:ascii="Arial" w:hAnsi="Arial" w:cs="Arial"/>
                <w:i/>
                <w:color w:val="800080"/>
                <w:sz w:val="20"/>
                <w:szCs w:val="20"/>
              </w:rPr>
            </w:pPr>
          </w:p>
          <w:p w:rsidR="005C0988" w:rsidRPr="00500F86" w:rsidRDefault="005C0988" w:rsidP="00015D46">
            <w:pPr>
              <w:rPr>
                <w:rFonts w:ascii="Arial" w:hAnsi="Arial" w:cs="Arial"/>
                <w:i/>
                <w:color w:val="800080"/>
                <w:sz w:val="20"/>
                <w:szCs w:val="20"/>
              </w:rPr>
            </w:pPr>
          </w:p>
          <w:p w:rsidR="005C0988" w:rsidRPr="00500F86" w:rsidRDefault="005C0988" w:rsidP="005C0988">
            <w:pPr>
              <w:numPr>
                <w:ilvl w:val="0"/>
                <w:numId w:val="3"/>
              </w:numPr>
              <w:rPr>
                <w:rFonts w:ascii="Arial" w:hAnsi="Arial" w:cs="Arial"/>
                <w:color w:val="800080"/>
                <w:sz w:val="20"/>
                <w:szCs w:val="20"/>
              </w:rPr>
            </w:pPr>
            <w:r w:rsidRPr="00500F86">
              <w:rPr>
                <w:rFonts w:ascii="Arial" w:hAnsi="Arial" w:cs="Arial"/>
                <w:i/>
                <w:color w:val="800080"/>
                <w:sz w:val="20"/>
                <w:szCs w:val="20"/>
              </w:rPr>
              <w:lastRenderedPageBreak/>
              <w:t>Other agencies:</w:t>
            </w:r>
          </w:p>
          <w:p w:rsidR="005C0988" w:rsidRPr="00500F86" w:rsidRDefault="005C0988" w:rsidP="005C0988">
            <w:pPr>
              <w:numPr>
                <w:ilvl w:val="0"/>
                <w:numId w:val="5"/>
              </w:numPr>
              <w:rPr>
                <w:rFonts w:ascii="Arial" w:hAnsi="Arial" w:cs="Arial"/>
                <w:color w:val="800080"/>
                <w:sz w:val="20"/>
                <w:szCs w:val="20"/>
              </w:rPr>
            </w:pPr>
            <w:r w:rsidRPr="00500F86">
              <w:rPr>
                <w:rFonts w:ascii="Arial" w:hAnsi="Arial" w:cs="Arial"/>
                <w:color w:val="800080"/>
                <w:sz w:val="20"/>
                <w:szCs w:val="20"/>
              </w:rPr>
              <w:t xml:space="preserve"> </w:t>
            </w:r>
          </w:p>
          <w:p w:rsidR="005C0988" w:rsidRPr="00500F86" w:rsidRDefault="005C0988" w:rsidP="005C0988">
            <w:pPr>
              <w:numPr>
                <w:ilvl w:val="0"/>
                <w:numId w:val="5"/>
              </w:numPr>
              <w:rPr>
                <w:rFonts w:ascii="Arial" w:hAnsi="Arial" w:cs="Arial"/>
                <w:color w:val="800080"/>
                <w:sz w:val="20"/>
                <w:szCs w:val="20"/>
              </w:rPr>
            </w:pPr>
            <w:r w:rsidRPr="00500F86">
              <w:rPr>
                <w:rFonts w:ascii="Arial" w:hAnsi="Arial" w:cs="Arial"/>
                <w:color w:val="800080"/>
                <w:sz w:val="20"/>
                <w:szCs w:val="20"/>
              </w:rPr>
              <w:t xml:space="preserve"> </w:t>
            </w:r>
          </w:p>
          <w:p w:rsidR="005C0988" w:rsidRPr="00500F86" w:rsidRDefault="005C0988" w:rsidP="005C0988">
            <w:pPr>
              <w:numPr>
                <w:ilvl w:val="0"/>
                <w:numId w:val="5"/>
              </w:numPr>
              <w:rPr>
                <w:rFonts w:ascii="Arial" w:hAnsi="Arial" w:cs="Arial"/>
                <w:color w:val="800080"/>
              </w:rPr>
            </w:pPr>
          </w:p>
        </w:tc>
        <w:tc>
          <w:tcPr>
            <w:tcW w:w="3208" w:type="dxa"/>
            <w:shd w:val="clear" w:color="auto" w:fill="auto"/>
          </w:tcPr>
          <w:p w:rsidR="005C0988" w:rsidRPr="00500F86" w:rsidRDefault="005C0988" w:rsidP="00015D46">
            <w:pPr>
              <w:rPr>
                <w:rFonts w:ascii="Arial" w:hAnsi="Arial" w:cs="Arial"/>
                <w:color w:val="800080"/>
              </w:rPr>
            </w:pP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 The council’s first contact service is aspiring to Customer Services Excellence accreditation.</w:t>
            </w:r>
          </w:p>
          <w:p w:rsidR="005C0988" w:rsidRPr="00500F86" w:rsidRDefault="005C0988" w:rsidP="00015D46">
            <w:pPr>
              <w:rPr>
                <w:rFonts w:ascii="Arial" w:hAnsi="Arial" w:cs="Arial"/>
                <w:i/>
                <w:color w:val="800080"/>
                <w:sz w:val="20"/>
                <w:szCs w:val="20"/>
              </w:rPr>
            </w:pPr>
          </w:p>
          <w:p w:rsidR="005C0988" w:rsidRPr="00500F86" w:rsidRDefault="005C0988" w:rsidP="00015D46">
            <w:pPr>
              <w:rPr>
                <w:rFonts w:ascii="Arial" w:hAnsi="Arial" w:cs="Arial"/>
                <w:i/>
                <w:color w:val="800080"/>
                <w:sz w:val="20"/>
                <w:szCs w:val="20"/>
              </w:rPr>
            </w:pPr>
          </w:p>
          <w:p w:rsidR="005C0988" w:rsidRPr="00500F86" w:rsidRDefault="005C0988" w:rsidP="00015D46">
            <w:pPr>
              <w:rPr>
                <w:rFonts w:ascii="Arial" w:hAnsi="Arial" w:cs="Arial"/>
                <w:color w:val="800080"/>
              </w:rPr>
            </w:pPr>
            <w:r w:rsidRPr="00500F86">
              <w:rPr>
                <w:rFonts w:ascii="Arial" w:hAnsi="Arial" w:cs="Arial"/>
                <w:i/>
                <w:color w:val="800080"/>
                <w:sz w:val="20"/>
                <w:szCs w:val="20"/>
              </w:rPr>
              <w:lastRenderedPageBreak/>
              <w:t>- Quality monitoring is built into contract specifications to varying degrees and using diverse frameworks.</w:t>
            </w:r>
          </w:p>
        </w:tc>
        <w:tc>
          <w:tcPr>
            <w:tcW w:w="2474" w:type="dxa"/>
            <w:shd w:val="clear" w:color="auto" w:fill="auto"/>
          </w:tcPr>
          <w:p w:rsidR="005C0988" w:rsidRPr="00500F86" w:rsidRDefault="005C0988" w:rsidP="00015D46">
            <w:pPr>
              <w:rPr>
                <w:rFonts w:ascii="Arial" w:hAnsi="Arial" w:cs="Arial"/>
                <w:color w:val="800080"/>
              </w:rPr>
            </w:pPr>
          </w:p>
        </w:tc>
      </w:tr>
      <w:tr w:rsidR="005C0988" w:rsidRPr="00500F86" w:rsidTr="00015D46">
        <w:tc>
          <w:tcPr>
            <w:tcW w:w="2840" w:type="dxa"/>
            <w:shd w:val="clear" w:color="auto" w:fill="auto"/>
          </w:tcPr>
          <w:p w:rsidR="005C0988" w:rsidRPr="00500F86" w:rsidRDefault="005C0988" w:rsidP="00015D46">
            <w:pPr>
              <w:rPr>
                <w:rFonts w:ascii="Arial" w:hAnsi="Arial" w:cs="Arial"/>
                <w:i/>
                <w:color w:val="800080"/>
                <w:sz w:val="20"/>
                <w:szCs w:val="20"/>
                <w:u w:val="single"/>
              </w:rPr>
            </w:pPr>
            <w:r w:rsidRPr="00500F86">
              <w:rPr>
                <w:rFonts w:ascii="Arial" w:hAnsi="Arial" w:cs="Arial"/>
                <w:i/>
                <w:color w:val="800080"/>
                <w:sz w:val="20"/>
                <w:szCs w:val="20"/>
                <w:u w:val="single"/>
              </w:rPr>
              <w:lastRenderedPageBreak/>
              <w:t>Example 4:</w:t>
            </w: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 xml:space="preserve">Evidence of the impact of information and advice – e.g. early resolution of issues, reduction in repeat referrals or unnecessary referrals to council and NHS services. </w:t>
            </w:r>
          </w:p>
          <w:p w:rsidR="005C0988" w:rsidRPr="00500F86" w:rsidRDefault="005C0988" w:rsidP="005C0988">
            <w:pPr>
              <w:numPr>
                <w:ilvl w:val="0"/>
                <w:numId w:val="7"/>
              </w:numPr>
              <w:rPr>
                <w:rFonts w:ascii="Arial" w:hAnsi="Arial" w:cs="Arial"/>
                <w:i/>
                <w:color w:val="800080"/>
                <w:sz w:val="20"/>
                <w:szCs w:val="20"/>
              </w:rPr>
            </w:pPr>
            <w:r w:rsidRPr="00500F86">
              <w:rPr>
                <w:rFonts w:ascii="Arial" w:hAnsi="Arial" w:cs="Arial"/>
                <w:i/>
                <w:color w:val="800080"/>
                <w:sz w:val="20"/>
                <w:szCs w:val="20"/>
              </w:rPr>
              <w:t xml:space="preserve"> </w:t>
            </w:r>
          </w:p>
          <w:p w:rsidR="005C0988" w:rsidRPr="00500F86" w:rsidRDefault="005C0988" w:rsidP="005C0988">
            <w:pPr>
              <w:numPr>
                <w:ilvl w:val="0"/>
                <w:numId w:val="7"/>
              </w:numPr>
              <w:rPr>
                <w:rFonts w:ascii="Arial" w:hAnsi="Arial" w:cs="Arial"/>
                <w:i/>
                <w:color w:val="800080"/>
                <w:sz w:val="20"/>
                <w:szCs w:val="20"/>
              </w:rPr>
            </w:pPr>
            <w:r w:rsidRPr="00500F86">
              <w:rPr>
                <w:rFonts w:ascii="Arial" w:hAnsi="Arial" w:cs="Arial"/>
                <w:i/>
                <w:color w:val="800080"/>
                <w:sz w:val="20"/>
                <w:szCs w:val="20"/>
              </w:rPr>
              <w:t xml:space="preserve"> </w:t>
            </w:r>
          </w:p>
          <w:p w:rsidR="005C0988" w:rsidRPr="00500F86" w:rsidRDefault="005C0988" w:rsidP="005C0988">
            <w:pPr>
              <w:numPr>
                <w:ilvl w:val="0"/>
                <w:numId w:val="7"/>
              </w:numPr>
              <w:rPr>
                <w:rFonts w:ascii="Arial" w:hAnsi="Arial" w:cs="Arial"/>
                <w:i/>
                <w:color w:val="800080"/>
                <w:sz w:val="20"/>
                <w:szCs w:val="20"/>
              </w:rPr>
            </w:pPr>
          </w:p>
        </w:tc>
        <w:tc>
          <w:tcPr>
            <w:tcW w:w="3208" w:type="dxa"/>
            <w:shd w:val="clear" w:color="auto" w:fill="auto"/>
          </w:tcPr>
          <w:p w:rsidR="005C0988" w:rsidRPr="00500F86" w:rsidRDefault="005C0988" w:rsidP="00015D46">
            <w:pPr>
              <w:rPr>
                <w:rFonts w:ascii="Arial" w:hAnsi="Arial" w:cs="Arial"/>
                <w:color w:val="800080"/>
              </w:rPr>
            </w:pPr>
          </w:p>
        </w:tc>
        <w:tc>
          <w:tcPr>
            <w:tcW w:w="2474" w:type="dxa"/>
            <w:shd w:val="clear" w:color="auto" w:fill="auto"/>
          </w:tcPr>
          <w:p w:rsidR="005C0988" w:rsidRPr="00500F86" w:rsidRDefault="005C0988" w:rsidP="00015D46">
            <w:pPr>
              <w:rPr>
                <w:rFonts w:ascii="Arial" w:hAnsi="Arial" w:cs="Arial"/>
                <w:color w:val="800080"/>
              </w:rPr>
            </w:pPr>
          </w:p>
        </w:tc>
      </w:tr>
      <w:tr w:rsidR="005C0988" w:rsidRPr="00500F86" w:rsidTr="00015D46">
        <w:tc>
          <w:tcPr>
            <w:tcW w:w="2840" w:type="dxa"/>
            <w:shd w:val="clear" w:color="auto" w:fill="auto"/>
          </w:tcPr>
          <w:p w:rsidR="005C0988" w:rsidRPr="00500F86" w:rsidRDefault="005C0988" w:rsidP="00015D46">
            <w:pPr>
              <w:rPr>
                <w:rFonts w:ascii="Arial" w:hAnsi="Arial" w:cs="Arial"/>
                <w:i/>
                <w:color w:val="800080"/>
                <w:sz w:val="20"/>
                <w:szCs w:val="20"/>
                <w:u w:val="single"/>
              </w:rPr>
            </w:pPr>
            <w:r w:rsidRPr="00500F86">
              <w:rPr>
                <w:rFonts w:ascii="Arial" w:hAnsi="Arial" w:cs="Arial"/>
                <w:i/>
                <w:color w:val="800080"/>
                <w:sz w:val="20"/>
                <w:szCs w:val="20"/>
                <w:u w:val="single"/>
              </w:rPr>
              <w:t>Example 5:</w:t>
            </w: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Other desirable indicators or measures – e.g. improved take-up of independent financial advice, etc.</w:t>
            </w:r>
          </w:p>
          <w:p w:rsidR="005C0988" w:rsidRPr="00500F86" w:rsidRDefault="005C0988" w:rsidP="005C0988">
            <w:pPr>
              <w:numPr>
                <w:ilvl w:val="0"/>
                <w:numId w:val="2"/>
              </w:numPr>
              <w:ind w:left="340"/>
              <w:rPr>
                <w:rFonts w:ascii="Arial" w:hAnsi="Arial" w:cs="Arial"/>
                <w:i/>
                <w:color w:val="800080"/>
                <w:sz w:val="20"/>
                <w:szCs w:val="20"/>
              </w:rPr>
            </w:pPr>
            <w:r w:rsidRPr="00500F86">
              <w:rPr>
                <w:rFonts w:ascii="Arial" w:hAnsi="Arial" w:cs="Arial"/>
                <w:i/>
                <w:color w:val="800080"/>
                <w:sz w:val="20"/>
                <w:szCs w:val="20"/>
              </w:rPr>
              <w:t xml:space="preserve"> </w:t>
            </w:r>
          </w:p>
          <w:p w:rsidR="005C0988" w:rsidRPr="00500F86" w:rsidRDefault="005C0988" w:rsidP="005C0988">
            <w:pPr>
              <w:numPr>
                <w:ilvl w:val="0"/>
                <w:numId w:val="2"/>
              </w:numPr>
              <w:ind w:left="340"/>
              <w:rPr>
                <w:rFonts w:ascii="Arial" w:hAnsi="Arial" w:cs="Arial"/>
                <w:i/>
                <w:color w:val="800080"/>
                <w:sz w:val="20"/>
                <w:szCs w:val="20"/>
              </w:rPr>
            </w:pPr>
            <w:r w:rsidRPr="00500F86">
              <w:rPr>
                <w:rFonts w:ascii="Arial" w:hAnsi="Arial" w:cs="Arial"/>
                <w:i/>
                <w:color w:val="800080"/>
                <w:sz w:val="20"/>
                <w:szCs w:val="20"/>
              </w:rPr>
              <w:t xml:space="preserve"> </w:t>
            </w:r>
          </w:p>
          <w:p w:rsidR="005C0988" w:rsidRPr="00500F86" w:rsidRDefault="005C0988" w:rsidP="005C0988">
            <w:pPr>
              <w:numPr>
                <w:ilvl w:val="0"/>
                <w:numId w:val="1"/>
              </w:numPr>
              <w:ind w:left="340"/>
              <w:rPr>
                <w:rFonts w:ascii="Arial" w:hAnsi="Arial" w:cs="Arial"/>
                <w:i/>
                <w:color w:val="800080"/>
                <w:sz w:val="20"/>
                <w:szCs w:val="20"/>
              </w:rPr>
            </w:pPr>
            <w:r w:rsidRPr="00500F86">
              <w:rPr>
                <w:rFonts w:ascii="Arial" w:hAnsi="Arial" w:cs="Arial"/>
                <w:i/>
                <w:color w:val="800080"/>
                <w:sz w:val="20"/>
                <w:szCs w:val="20"/>
              </w:rPr>
              <w:t xml:space="preserve"> </w:t>
            </w:r>
          </w:p>
        </w:tc>
        <w:tc>
          <w:tcPr>
            <w:tcW w:w="3208" w:type="dxa"/>
            <w:shd w:val="clear" w:color="auto" w:fill="auto"/>
          </w:tcPr>
          <w:p w:rsidR="005C0988" w:rsidRPr="00500F86" w:rsidRDefault="005C0988" w:rsidP="00015D46">
            <w:pPr>
              <w:rPr>
                <w:rFonts w:ascii="Arial" w:hAnsi="Arial" w:cs="Arial"/>
                <w:color w:val="800080"/>
              </w:rPr>
            </w:pPr>
          </w:p>
        </w:tc>
        <w:tc>
          <w:tcPr>
            <w:tcW w:w="2474" w:type="dxa"/>
            <w:shd w:val="clear" w:color="auto" w:fill="auto"/>
          </w:tcPr>
          <w:p w:rsidR="005C0988" w:rsidRPr="00500F86" w:rsidRDefault="005C0988" w:rsidP="00015D46">
            <w:pPr>
              <w:rPr>
                <w:rFonts w:ascii="Arial" w:hAnsi="Arial" w:cs="Arial"/>
                <w:color w:val="800080"/>
              </w:rPr>
            </w:pPr>
          </w:p>
        </w:tc>
      </w:tr>
    </w:tbl>
    <w:p w:rsidR="005C0988" w:rsidRPr="009C5A59" w:rsidRDefault="005C0988" w:rsidP="005C0988">
      <w:pPr>
        <w:rPr>
          <w:rFonts w:ascii="Arial" w:hAnsi="Arial" w:cs="Arial"/>
          <w:i/>
          <w:color w:val="800080"/>
        </w:rPr>
      </w:pPr>
    </w:p>
    <w:p w:rsidR="005C0988" w:rsidRPr="009350B6" w:rsidRDefault="005C0988" w:rsidP="005C0988">
      <w:pPr>
        <w:rPr>
          <w:rFonts w:ascii="Arial" w:hAnsi="Arial" w:cs="Arial"/>
          <w:i/>
          <w:color w:val="800080"/>
          <w:sz w:val="20"/>
          <w:szCs w:val="20"/>
        </w:rPr>
      </w:pPr>
      <w:r w:rsidRPr="009350B6">
        <w:rPr>
          <w:rFonts w:ascii="Arial" w:hAnsi="Arial" w:cs="Arial"/>
          <w:i/>
          <w:color w:val="800080"/>
          <w:sz w:val="20"/>
          <w:szCs w:val="20"/>
        </w:rPr>
        <w:t>It is a good idea to identify foreseeable risks and plan how these will be mitigated.  If you decide to do this, you can sum up your conclusions here.</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1854"/>
        <w:gridCol w:w="2880"/>
        <w:gridCol w:w="1754"/>
      </w:tblGrid>
      <w:tr w:rsidR="005C0988" w:rsidRPr="00500F86" w:rsidTr="005C0988">
        <w:tc>
          <w:tcPr>
            <w:tcW w:w="8522" w:type="dxa"/>
            <w:gridSpan w:val="4"/>
            <w:shd w:val="clear" w:color="auto" w:fill="auto"/>
          </w:tcPr>
          <w:p w:rsidR="005C0988" w:rsidRPr="00500F86" w:rsidRDefault="005C0988" w:rsidP="00015D46">
            <w:pPr>
              <w:rPr>
                <w:rFonts w:ascii="Arial" w:hAnsi="Arial" w:cs="Arial"/>
                <w:b/>
                <w:sz w:val="28"/>
                <w:szCs w:val="28"/>
              </w:rPr>
            </w:pPr>
          </w:p>
          <w:p w:rsidR="005C0988" w:rsidRPr="00500F86" w:rsidRDefault="005C0988" w:rsidP="00015D46">
            <w:pPr>
              <w:rPr>
                <w:rFonts w:ascii="Arial" w:hAnsi="Arial" w:cs="Arial"/>
                <w:b/>
                <w:sz w:val="28"/>
                <w:szCs w:val="28"/>
              </w:rPr>
            </w:pPr>
            <w:r w:rsidRPr="00500F86">
              <w:rPr>
                <w:rFonts w:ascii="Arial" w:hAnsi="Arial" w:cs="Arial"/>
                <w:b/>
                <w:sz w:val="28"/>
                <w:szCs w:val="28"/>
              </w:rPr>
              <w:t>Risk Framework</w:t>
            </w:r>
          </w:p>
          <w:p w:rsidR="005C0988" w:rsidRPr="00500F86" w:rsidRDefault="005C0988" w:rsidP="00015D46">
            <w:pPr>
              <w:rPr>
                <w:rFonts w:ascii="Arial" w:hAnsi="Arial" w:cs="Arial"/>
                <w:b/>
                <w:sz w:val="28"/>
                <w:szCs w:val="28"/>
              </w:rPr>
            </w:pPr>
          </w:p>
        </w:tc>
      </w:tr>
      <w:tr w:rsidR="005C0988" w:rsidRPr="00500F86" w:rsidTr="005C0988">
        <w:tc>
          <w:tcPr>
            <w:tcW w:w="2034" w:type="dxa"/>
            <w:shd w:val="clear" w:color="auto" w:fill="C0C0C0"/>
          </w:tcPr>
          <w:p w:rsidR="005C0988" w:rsidRPr="00500F86" w:rsidRDefault="005C0988" w:rsidP="00015D46">
            <w:pPr>
              <w:rPr>
                <w:rFonts w:ascii="Arial" w:hAnsi="Arial" w:cs="Arial"/>
                <w:b/>
              </w:rPr>
            </w:pPr>
            <w:r w:rsidRPr="00500F86">
              <w:rPr>
                <w:rFonts w:ascii="Arial" w:hAnsi="Arial" w:cs="Arial"/>
                <w:b/>
              </w:rPr>
              <w:t>Key Risk</w:t>
            </w:r>
          </w:p>
        </w:tc>
        <w:tc>
          <w:tcPr>
            <w:tcW w:w="1854" w:type="dxa"/>
            <w:shd w:val="clear" w:color="auto" w:fill="C0C0C0"/>
          </w:tcPr>
          <w:p w:rsidR="005C0988" w:rsidRPr="00500F86" w:rsidRDefault="005C0988" w:rsidP="00015D46">
            <w:pPr>
              <w:rPr>
                <w:rFonts w:ascii="Arial" w:hAnsi="Arial" w:cs="Arial"/>
                <w:b/>
              </w:rPr>
            </w:pPr>
            <w:r w:rsidRPr="00500F86">
              <w:rPr>
                <w:rFonts w:ascii="Arial" w:hAnsi="Arial" w:cs="Arial"/>
                <w:b/>
              </w:rPr>
              <w:t>Severity</w:t>
            </w:r>
          </w:p>
          <w:p w:rsidR="005C0988" w:rsidRPr="00500F86" w:rsidRDefault="005C0988" w:rsidP="00015D46">
            <w:pPr>
              <w:rPr>
                <w:rFonts w:ascii="Arial" w:hAnsi="Arial" w:cs="Arial"/>
                <w:b/>
              </w:rPr>
            </w:pPr>
            <w:r w:rsidRPr="00500F86">
              <w:rPr>
                <w:rFonts w:ascii="Arial" w:hAnsi="Arial" w:cs="Arial"/>
                <w:b/>
              </w:rPr>
              <w:t>(probability/</w:t>
            </w:r>
          </w:p>
          <w:p w:rsidR="005C0988" w:rsidRPr="00500F86" w:rsidRDefault="005C0988" w:rsidP="00015D46">
            <w:pPr>
              <w:rPr>
                <w:rFonts w:ascii="Arial" w:hAnsi="Arial" w:cs="Arial"/>
                <w:b/>
              </w:rPr>
            </w:pPr>
            <w:r w:rsidRPr="00500F86">
              <w:rPr>
                <w:rFonts w:ascii="Arial" w:hAnsi="Arial" w:cs="Arial"/>
                <w:b/>
              </w:rPr>
              <w:t>impact)</w:t>
            </w:r>
          </w:p>
          <w:p w:rsidR="005C0988" w:rsidRPr="00500F86" w:rsidRDefault="005C0988" w:rsidP="00015D46">
            <w:pPr>
              <w:rPr>
                <w:rFonts w:ascii="Arial" w:hAnsi="Arial" w:cs="Arial"/>
                <w:i/>
                <w:sz w:val="20"/>
                <w:szCs w:val="20"/>
              </w:rPr>
            </w:pPr>
          </w:p>
        </w:tc>
        <w:tc>
          <w:tcPr>
            <w:tcW w:w="2880" w:type="dxa"/>
            <w:shd w:val="clear" w:color="auto" w:fill="C0C0C0"/>
          </w:tcPr>
          <w:p w:rsidR="005C0988" w:rsidRPr="00500F86" w:rsidRDefault="005C0988" w:rsidP="00015D46">
            <w:pPr>
              <w:rPr>
                <w:rFonts w:ascii="Arial" w:hAnsi="Arial" w:cs="Arial"/>
                <w:b/>
              </w:rPr>
            </w:pPr>
            <w:r w:rsidRPr="00500F86">
              <w:rPr>
                <w:rFonts w:ascii="Arial" w:hAnsi="Arial" w:cs="Arial"/>
                <w:b/>
              </w:rPr>
              <w:t>Mitigating action</w:t>
            </w:r>
          </w:p>
        </w:tc>
        <w:tc>
          <w:tcPr>
            <w:tcW w:w="1754" w:type="dxa"/>
            <w:shd w:val="clear" w:color="auto" w:fill="C0C0C0"/>
          </w:tcPr>
          <w:p w:rsidR="005C0988" w:rsidRPr="00500F86" w:rsidRDefault="005C0988" w:rsidP="00015D46">
            <w:pPr>
              <w:rPr>
                <w:rFonts w:ascii="Arial" w:hAnsi="Arial" w:cs="Arial"/>
                <w:b/>
              </w:rPr>
            </w:pPr>
            <w:r w:rsidRPr="00500F86">
              <w:rPr>
                <w:rFonts w:ascii="Arial" w:hAnsi="Arial" w:cs="Arial"/>
                <w:b/>
              </w:rPr>
              <w:t>Responsible officer</w:t>
            </w:r>
          </w:p>
        </w:tc>
      </w:tr>
      <w:tr w:rsidR="005C0988" w:rsidRPr="00500F86" w:rsidTr="005C0988">
        <w:tc>
          <w:tcPr>
            <w:tcW w:w="2034" w:type="dxa"/>
            <w:shd w:val="clear" w:color="auto" w:fill="auto"/>
          </w:tcPr>
          <w:p w:rsidR="005C0988" w:rsidRPr="00500F86" w:rsidRDefault="005C0988" w:rsidP="00015D46">
            <w:pPr>
              <w:rPr>
                <w:rFonts w:ascii="Arial" w:hAnsi="Arial" w:cs="Arial"/>
                <w:i/>
                <w:color w:val="800080"/>
                <w:sz w:val="20"/>
                <w:szCs w:val="20"/>
                <w:u w:val="single"/>
              </w:rPr>
            </w:pPr>
            <w:r w:rsidRPr="00500F86">
              <w:rPr>
                <w:rFonts w:ascii="Arial" w:hAnsi="Arial" w:cs="Arial"/>
                <w:i/>
                <w:color w:val="800080"/>
                <w:sz w:val="20"/>
                <w:szCs w:val="20"/>
                <w:u w:val="single"/>
              </w:rPr>
              <w:t>Example 1</w:t>
            </w: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Because of overcrowded agendas, the implementation of this strategy might not be prioritised by the officers of the council and other partners.</w:t>
            </w:r>
          </w:p>
          <w:p w:rsidR="005C0988" w:rsidRPr="00500F86" w:rsidRDefault="005C0988" w:rsidP="00015D46">
            <w:pPr>
              <w:rPr>
                <w:rFonts w:ascii="Arial" w:hAnsi="Arial" w:cs="Arial"/>
                <w:color w:val="800080"/>
              </w:rPr>
            </w:pPr>
          </w:p>
        </w:tc>
        <w:tc>
          <w:tcPr>
            <w:tcW w:w="1854" w:type="dxa"/>
            <w:shd w:val="clear" w:color="auto" w:fill="auto"/>
          </w:tcPr>
          <w:p w:rsidR="005C0988" w:rsidRPr="00500F86" w:rsidRDefault="005C0988" w:rsidP="00015D46">
            <w:pPr>
              <w:rPr>
                <w:rFonts w:ascii="Arial" w:hAnsi="Arial" w:cs="Arial"/>
                <w:color w:val="800080"/>
              </w:rPr>
            </w:pP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Medium/High</w:t>
            </w:r>
          </w:p>
        </w:tc>
        <w:tc>
          <w:tcPr>
            <w:tcW w:w="2880" w:type="dxa"/>
            <w:shd w:val="clear" w:color="auto" w:fill="auto"/>
          </w:tcPr>
          <w:p w:rsidR="005C0988" w:rsidRPr="00500F86" w:rsidRDefault="005C0988" w:rsidP="00015D46">
            <w:pPr>
              <w:rPr>
                <w:rFonts w:ascii="Arial" w:hAnsi="Arial" w:cs="Arial"/>
                <w:color w:val="800080"/>
              </w:rPr>
            </w:pP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 Ensure that the strategy continues to be owned and prioritised by X</w:t>
            </w: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 Ensure that the designated Lead Member and senior officer continue to champion the importance of this strategy.</w:t>
            </w:r>
          </w:p>
          <w:p w:rsidR="005C0988" w:rsidRPr="00500F86" w:rsidRDefault="005C0988" w:rsidP="00015D46">
            <w:pPr>
              <w:rPr>
                <w:rFonts w:ascii="Arial" w:hAnsi="Arial" w:cs="Arial"/>
                <w:color w:val="800080"/>
              </w:rPr>
            </w:pPr>
            <w:r w:rsidRPr="00500F86">
              <w:rPr>
                <w:rFonts w:ascii="Arial" w:hAnsi="Arial" w:cs="Arial"/>
                <w:i/>
                <w:color w:val="800080"/>
                <w:sz w:val="20"/>
                <w:szCs w:val="20"/>
              </w:rPr>
              <w:t>- Ensure that monitoring of this strategy is planned into the future agendas of the Health and Wellbeing Board.</w:t>
            </w:r>
          </w:p>
        </w:tc>
        <w:tc>
          <w:tcPr>
            <w:tcW w:w="1754" w:type="dxa"/>
            <w:shd w:val="clear" w:color="auto" w:fill="auto"/>
          </w:tcPr>
          <w:p w:rsidR="005C0988" w:rsidRPr="00500F86" w:rsidRDefault="005C0988" w:rsidP="00015D46">
            <w:pPr>
              <w:rPr>
                <w:rFonts w:ascii="Arial" w:hAnsi="Arial" w:cs="Arial"/>
                <w:color w:val="800080"/>
              </w:rPr>
            </w:pP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DASS</w:t>
            </w:r>
          </w:p>
        </w:tc>
      </w:tr>
      <w:tr w:rsidR="005C0988" w:rsidRPr="00500F86" w:rsidTr="005C0988">
        <w:tc>
          <w:tcPr>
            <w:tcW w:w="2034" w:type="dxa"/>
            <w:shd w:val="clear" w:color="auto" w:fill="auto"/>
          </w:tcPr>
          <w:p w:rsidR="005C0988" w:rsidRPr="00500F86" w:rsidRDefault="005C0988" w:rsidP="00015D46">
            <w:pPr>
              <w:rPr>
                <w:rFonts w:ascii="Arial" w:hAnsi="Arial" w:cs="Arial"/>
                <w:i/>
                <w:color w:val="800080"/>
                <w:sz w:val="20"/>
                <w:szCs w:val="20"/>
                <w:u w:val="single"/>
              </w:rPr>
            </w:pPr>
            <w:r w:rsidRPr="00500F86">
              <w:rPr>
                <w:rFonts w:ascii="Arial" w:hAnsi="Arial" w:cs="Arial"/>
                <w:i/>
                <w:color w:val="800080"/>
                <w:sz w:val="20"/>
                <w:szCs w:val="20"/>
                <w:u w:val="single"/>
              </w:rPr>
              <w:t>Example 2</w:t>
            </w:r>
          </w:p>
          <w:p w:rsidR="005C0988" w:rsidRPr="00500F86" w:rsidRDefault="005C0988" w:rsidP="00015D46">
            <w:pPr>
              <w:rPr>
                <w:rFonts w:ascii="Arial" w:hAnsi="Arial" w:cs="Arial"/>
                <w:color w:val="800080"/>
              </w:rPr>
            </w:pPr>
            <w:r w:rsidRPr="00500F86">
              <w:rPr>
                <w:rFonts w:ascii="Arial" w:hAnsi="Arial" w:cs="Arial"/>
                <w:i/>
                <w:color w:val="800080"/>
                <w:sz w:val="20"/>
                <w:szCs w:val="20"/>
              </w:rPr>
              <w:t>Because of the difficulty in measuring benefits and outcomes, it may be particularly difficult to demonstrate the impact of this strategy.</w:t>
            </w:r>
          </w:p>
        </w:tc>
        <w:tc>
          <w:tcPr>
            <w:tcW w:w="1854" w:type="dxa"/>
            <w:shd w:val="clear" w:color="auto" w:fill="auto"/>
          </w:tcPr>
          <w:p w:rsidR="005C0988" w:rsidRPr="00500F86" w:rsidRDefault="005C0988" w:rsidP="00015D46">
            <w:pPr>
              <w:rPr>
                <w:rFonts w:ascii="Arial" w:hAnsi="Arial" w:cs="Arial"/>
                <w:color w:val="800080"/>
              </w:rPr>
            </w:pP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Medium/Medium</w:t>
            </w:r>
          </w:p>
        </w:tc>
        <w:tc>
          <w:tcPr>
            <w:tcW w:w="2880" w:type="dxa"/>
            <w:shd w:val="clear" w:color="auto" w:fill="auto"/>
          </w:tcPr>
          <w:p w:rsidR="005C0988" w:rsidRPr="00500F86" w:rsidRDefault="005C0988" w:rsidP="00015D46">
            <w:pPr>
              <w:rPr>
                <w:rFonts w:ascii="Arial" w:hAnsi="Arial" w:cs="Arial"/>
                <w:color w:val="800080"/>
              </w:rPr>
            </w:pP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 Engage with co-production group about how to measure success.</w:t>
            </w: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 xml:space="preserve">- Prioritise the establishment of a multi-agency working group to developing new monitoring processes </w:t>
            </w: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 Focus on early, demonstrable improvements in customer satisfaction.</w:t>
            </w:r>
          </w:p>
        </w:tc>
        <w:tc>
          <w:tcPr>
            <w:tcW w:w="1754" w:type="dxa"/>
            <w:shd w:val="clear" w:color="auto" w:fill="auto"/>
          </w:tcPr>
          <w:p w:rsidR="005C0988" w:rsidRPr="00500F86" w:rsidRDefault="005C0988" w:rsidP="00015D46">
            <w:pPr>
              <w:rPr>
                <w:rFonts w:ascii="Arial" w:hAnsi="Arial" w:cs="Arial"/>
                <w:color w:val="800080"/>
              </w:rPr>
            </w:pPr>
          </w:p>
          <w:p w:rsidR="005C0988" w:rsidRPr="00500F86" w:rsidRDefault="005C0988" w:rsidP="00015D46">
            <w:pPr>
              <w:rPr>
                <w:rFonts w:ascii="Arial" w:hAnsi="Arial" w:cs="Arial"/>
                <w:i/>
                <w:color w:val="800080"/>
                <w:sz w:val="20"/>
                <w:szCs w:val="20"/>
              </w:rPr>
            </w:pPr>
            <w:r w:rsidRPr="00500F86">
              <w:rPr>
                <w:rFonts w:ascii="Arial" w:hAnsi="Arial" w:cs="Arial"/>
                <w:i/>
                <w:color w:val="800080"/>
                <w:sz w:val="20"/>
                <w:szCs w:val="20"/>
              </w:rPr>
              <w:t>Project Lead (name)</w:t>
            </w:r>
          </w:p>
        </w:tc>
      </w:tr>
    </w:tbl>
    <w:p w:rsidR="005C0988" w:rsidRPr="00DC2643" w:rsidRDefault="005C0988" w:rsidP="005C0988">
      <w:pPr>
        <w:rPr>
          <w:rFonts w:ascii="Arial" w:hAnsi="Arial" w:cs="Arial"/>
          <w:b/>
        </w:rPr>
      </w:pPr>
    </w:p>
    <w:sectPr w:rsidR="005C0988" w:rsidRPr="00DC2643" w:rsidSect="00F27612">
      <w:pgSz w:w="11906" w:h="16838"/>
      <w:pgMar w:top="1361" w:right="1797" w:bottom="130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988" w:rsidRDefault="005C0988" w:rsidP="005C0988">
      <w:r>
        <w:separator/>
      </w:r>
    </w:p>
  </w:endnote>
  <w:endnote w:type="continuationSeparator" w:id="0">
    <w:p w:rsidR="005C0988" w:rsidRDefault="005C0988" w:rsidP="005C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988" w:rsidRDefault="005C0988" w:rsidP="005C0988">
      <w:r>
        <w:separator/>
      </w:r>
    </w:p>
  </w:footnote>
  <w:footnote w:type="continuationSeparator" w:id="0">
    <w:p w:rsidR="005C0988" w:rsidRDefault="005C0988" w:rsidP="005C0988">
      <w:r>
        <w:continuationSeparator/>
      </w:r>
    </w:p>
  </w:footnote>
  <w:footnote w:id="1">
    <w:p w:rsidR="005C0988" w:rsidRDefault="005C0988" w:rsidP="005C0988">
      <w:pPr>
        <w:pStyle w:val="FootnoteText"/>
      </w:pPr>
      <w:r>
        <w:rPr>
          <w:rStyle w:val="FootnoteReference"/>
        </w:rPr>
        <w:footnoteRef/>
      </w:r>
      <w:r>
        <w:t xml:space="preserve"> </w:t>
      </w:r>
      <w:r w:rsidRPr="00977C0D">
        <w:rPr>
          <w:rFonts w:ascii="Arial" w:hAnsi="Arial" w:cs="Arial"/>
          <w:i/>
          <w:color w:val="800080"/>
        </w:rPr>
        <w:t>This issue is discussed in TLAP’s publication on “Seeing the Benefi</w:t>
      </w:r>
      <w:r w:rsidR="00CF6982">
        <w:rPr>
          <w:rFonts w:ascii="Arial" w:hAnsi="Arial" w:cs="Arial"/>
          <w:i/>
          <w:color w:val="800080"/>
        </w:rPr>
        <w:t xml:space="preserve">ts of Information and Advice”. </w:t>
      </w:r>
      <w:hyperlink r:id="rId1" w:history="1">
        <w:r w:rsidR="00CF6982" w:rsidRPr="00075C02">
          <w:rPr>
            <w:rStyle w:val="Hyperlink"/>
            <w:rFonts w:ascii="Arial" w:hAnsi="Arial" w:cs="Arial"/>
            <w:i/>
          </w:rPr>
          <w:t>www.thinklocalactpersonal.or</w:t>
        </w:r>
        <w:bookmarkStart w:id="0" w:name="_GoBack"/>
        <w:bookmarkEnd w:id="0"/>
        <w:r w:rsidR="00CF6982" w:rsidRPr="00075C02">
          <w:rPr>
            <w:rStyle w:val="Hyperlink"/>
            <w:rFonts w:ascii="Arial" w:hAnsi="Arial" w:cs="Arial"/>
            <w:i/>
          </w:rPr>
          <w:t>g.uk/Seeingthebenefits</w:t>
        </w:r>
      </w:hyperlink>
      <w:r w:rsidR="00CF6982">
        <w:rPr>
          <w:rFonts w:ascii="Arial" w:hAnsi="Arial" w:cs="Arial"/>
          <w:i/>
          <w:color w:val="80008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A2D5A"/>
    <w:multiLevelType w:val="hybridMultilevel"/>
    <w:tmpl w:val="1768440A"/>
    <w:lvl w:ilvl="0" w:tplc="613EFA80">
      <w:start w:val="1"/>
      <w:numFmt w:val="bullet"/>
      <w:lvlText w:val=""/>
      <w:lvlJc w:val="left"/>
      <w:pPr>
        <w:tabs>
          <w:tab w:val="num" w:pos="700"/>
        </w:tabs>
        <w:ind w:left="700" w:hanging="340"/>
      </w:pPr>
      <w:rPr>
        <w:rFonts w:ascii="Wingdings" w:hAnsi="Wingdings"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736383"/>
    <w:multiLevelType w:val="hybridMultilevel"/>
    <w:tmpl w:val="B3A8AF10"/>
    <w:lvl w:ilvl="0" w:tplc="74DA4FCA">
      <w:start w:val="1"/>
      <w:numFmt w:val="bullet"/>
      <w:lvlText w:val=""/>
      <w:lvlJc w:val="left"/>
      <w:pPr>
        <w:tabs>
          <w:tab w:val="num" w:pos="340"/>
        </w:tabs>
        <w:ind w:left="340" w:hanging="340"/>
      </w:pPr>
      <w:rPr>
        <w:rFonts w:ascii="Wingdings" w:hAnsi="Wingdings" w:hint="default"/>
        <w:color w:val="800080"/>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2">
    <w:nsid w:val="27680BEF"/>
    <w:multiLevelType w:val="hybridMultilevel"/>
    <w:tmpl w:val="296686A8"/>
    <w:lvl w:ilvl="0" w:tplc="31A87BDC">
      <w:start w:val="2"/>
      <w:numFmt w:val="bullet"/>
      <w:lvlText w:val="-"/>
      <w:lvlJc w:val="left"/>
      <w:pPr>
        <w:tabs>
          <w:tab w:val="num" w:pos="700"/>
        </w:tabs>
        <w:ind w:left="700" w:hanging="360"/>
      </w:pPr>
      <w:rPr>
        <w:rFonts w:ascii="Verdana" w:eastAsia="MS Mincho" w:hAnsi="Verdana" w:cs="Times New Roman" w:hint="default"/>
        <w:color w:val="80008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61969EB"/>
    <w:multiLevelType w:val="hybridMultilevel"/>
    <w:tmpl w:val="AEB03A5C"/>
    <w:lvl w:ilvl="0" w:tplc="16BEECBC">
      <w:start w:val="2"/>
      <w:numFmt w:val="decimal"/>
      <w:lvlText w:val="%1."/>
      <w:lvlJc w:val="left"/>
      <w:pPr>
        <w:tabs>
          <w:tab w:val="num" w:pos="384"/>
        </w:tabs>
        <w:ind w:left="384" w:hanging="384"/>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5AC61579"/>
    <w:multiLevelType w:val="hybridMultilevel"/>
    <w:tmpl w:val="A5926654"/>
    <w:lvl w:ilvl="0" w:tplc="1D3A8362">
      <w:start w:val="1"/>
      <w:numFmt w:val="bullet"/>
      <w:lvlText w:val=""/>
      <w:lvlJc w:val="left"/>
      <w:pPr>
        <w:tabs>
          <w:tab w:val="num" w:pos="340"/>
        </w:tabs>
        <w:ind w:left="340" w:hanging="340"/>
      </w:pPr>
      <w:rPr>
        <w:rFonts w:ascii="Wingdings" w:hAnsi="Wingdings" w:hint="default"/>
        <w:color w:val="80008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82174AE"/>
    <w:multiLevelType w:val="hybridMultilevel"/>
    <w:tmpl w:val="2B9EA9C2"/>
    <w:lvl w:ilvl="0" w:tplc="31A87BDC">
      <w:start w:val="2"/>
      <w:numFmt w:val="bullet"/>
      <w:lvlText w:val="-"/>
      <w:lvlJc w:val="left"/>
      <w:pPr>
        <w:tabs>
          <w:tab w:val="num" w:pos="700"/>
        </w:tabs>
        <w:ind w:left="700" w:hanging="360"/>
      </w:pPr>
      <w:rPr>
        <w:rFonts w:ascii="Verdana" w:eastAsia="MS Mincho" w:hAnsi="Verdana" w:cs="Times New Roman" w:hint="default"/>
        <w:color w:val="800080"/>
      </w:rPr>
    </w:lvl>
    <w:lvl w:ilvl="1" w:tplc="31A87BDC">
      <w:start w:val="2"/>
      <w:numFmt w:val="bullet"/>
      <w:lvlText w:val="-"/>
      <w:lvlJc w:val="left"/>
      <w:pPr>
        <w:tabs>
          <w:tab w:val="num" w:pos="1420"/>
        </w:tabs>
        <w:ind w:left="1420" w:hanging="360"/>
      </w:pPr>
      <w:rPr>
        <w:rFonts w:ascii="Verdana" w:eastAsia="MS Mincho" w:hAnsi="Verdana" w:cs="Times New Roman" w:hint="default"/>
        <w:color w:val="800080"/>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6">
    <w:nsid w:val="703852E3"/>
    <w:multiLevelType w:val="hybridMultilevel"/>
    <w:tmpl w:val="07B0407A"/>
    <w:lvl w:ilvl="0" w:tplc="1D3A8362">
      <w:start w:val="1"/>
      <w:numFmt w:val="bullet"/>
      <w:lvlText w:val=""/>
      <w:lvlJc w:val="left"/>
      <w:pPr>
        <w:tabs>
          <w:tab w:val="num" w:pos="700"/>
        </w:tabs>
        <w:ind w:left="700" w:hanging="340"/>
      </w:pPr>
      <w:rPr>
        <w:rFonts w:ascii="Wingdings" w:hAnsi="Wingdings"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88"/>
    <w:rsid w:val="001F4D90"/>
    <w:rsid w:val="002123B9"/>
    <w:rsid w:val="005C0988"/>
    <w:rsid w:val="005D6488"/>
    <w:rsid w:val="00CF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C0269-A96D-422F-973F-D33CB389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8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C0988"/>
    <w:rPr>
      <w:sz w:val="20"/>
      <w:szCs w:val="20"/>
    </w:rPr>
  </w:style>
  <w:style w:type="character" w:customStyle="1" w:styleId="FootnoteTextChar">
    <w:name w:val="Footnote Text Char"/>
    <w:basedOn w:val="DefaultParagraphFont"/>
    <w:link w:val="FootnoteText"/>
    <w:semiHidden/>
    <w:rsid w:val="005C0988"/>
    <w:rPr>
      <w:rFonts w:ascii="Times New Roman" w:eastAsia="MS Mincho" w:hAnsi="Times New Roman" w:cs="Times New Roman"/>
      <w:sz w:val="20"/>
      <w:szCs w:val="20"/>
      <w:lang w:eastAsia="ja-JP"/>
    </w:rPr>
  </w:style>
  <w:style w:type="character" w:styleId="FootnoteReference">
    <w:name w:val="footnote reference"/>
    <w:semiHidden/>
    <w:rsid w:val="005C0988"/>
    <w:rPr>
      <w:vertAlign w:val="superscript"/>
    </w:rPr>
  </w:style>
  <w:style w:type="character" w:styleId="Hyperlink">
    <w:name w:val="Hyperlink"/>
    <w:basedOn w:val="DefaultParagraphFont"/>
    <w:uiPriority w:val="99"/>
    <w:unhideWhenUsed/>
    <w:rsid w:val="00CF6982"/>
    <w:rPr>
      <w:color w:val="0563C1" w:themeColor="hyperlink"/>
      <w:u w:val="single"/>
    </w:rPr>
  </w:style>
  <w:style w:type="character" w:styleId="FollowedHyperlink">
    <w:name w:val="FollowedHyperlink"/>
    <w:basedOn w:val="DefaultParagraphFont"/>
    <w:uiPriority w:val="99"/>
    <w:semiHidden/>
    <w:unhideWhenUsed/>
    <w:rsid w:val="005D6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thinklocalactpersonal.org.uk/Seeingthe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Zmertych</dc:creator>
  <cp:keywords/>
  <dc:description/>
  <cp:lastModifiedBy>Sara Zmertych</cp:lastModifiedBy>
  <cp:revision>3</cp:revision>
  <dcterms:created xsi:type="dcterms:W3CDTF">2014-10-20T12:49:00Z</dcterms:created>
  <dcterms:modified xsi:type="dcterms:W3CDTF">2014-11-03T11:59:00Z</dcterms:modified>
</cp:coreProperties>
</file>